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91" w:rsidRDefault="000F7991" w:rsidP="00B67082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Утвърждавам:</w:t>
      </w:r>
      <w:r w:rsidR="00802A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/Подпис/</w:t>
      </w:r>
    </w:p>
    <w:p w:rsidR="000F7991" w:rsidRDefault="000F7991" w:rsidP="00B67082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Директор на ИБФБМИ</w:t>
      </w:r>
    </w:p>
    <w:p w:rsidR="000F7991" w:rsidRDefault="000F7991" w:rsidP="000F7991">
      <w:pPr>
        <w:autoSpaceDE w:val="0"/>
        <w:autoSpaceDN w:val="0"/>
        <w:adjustRightInd w:val="0"/>
        <w:spacing w:after="0" w:line="360" w:lineRule="auto"/>
        <w:ind w:left="4956" w:right="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Чл.-кор. Андон КОСЕВ</w:t>
      </w:r>
    </w:p>
    <w:p w:rsidR="000F7991" w:rsidRDefault="000F7991" w:rsidP="000F7991">
      <w:pPr>
        <w:autoSpaceDE w:val="0"/>
        <w:autoSpaceDN w:val="0"/>
        <w:adjustRightInd w:val="0"/>
        <w:spacing w:after="0" w:line="360" w:lineRule="auto"/>
        <w:ind w:left="4956" w:right="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991" w:rsidRDefault="000F7991" w:rsidP="000F7991">
      <w:pPr>
        <w:autoSpaceDE w:val="0"/>
        <w:autoSpaceDN w:val="0"/>
        <w:adjustRightInd w:val="0"/>
        <w:spacing w:after="0" w:line="360" w:lineRule="auto"/>
        <w:ind w:left="4956" w:right="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991" w:rsidRDefault="000F7991" w:rsidP="000F7991">
      <w:pPr>
        <w:autoSpaceDE w:val="0"/>
        <w:autoSpaceDN w:val="0"/>
        <w:adjustRightInd w:val="0"/>
        <w:spacing w:after="0" w:line="360" w:lineRule="auto"/>
        <w:ind w:left="4956" w:right="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082" w:rsidRDefault="00B67082" w:rsidP="00802A0D">
      <w:pPr>
        <w:autoSpaceDE w:val="0"/>
        <w:autoSpaceDN w:val="0"/>
        <w:adjustRightInd w:val="0"/>
        <w:spacing w:after="0" w:line="360" w:lineRule="auto"/>
        <w:ind w:right="4" w:firstLine="56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ЗА УПРАВЛЕНИЕ НА РИСКА В ИБФБМИ </w:t>
      </w:r>
      <w:r w:rsidR="00802A0D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</w:t>
      </w:r>
    </w:p>
    <w:p w:rsidR="00802A0D" w:rsidRPr="00802A0D" w:rsidRDefault="00802A0D" w:rsidP="00802A0D">
      <w:pPr>
        <w:autoSpaceDE w:val="0"/>
        <w:autoSpaceDN w:val="0"/>
        <w:adjustRightInd w:val="0"/>
        <w:spacing w:after="0" w:line="360" w:lineRule="auto"/>
        <w:ind w:right="4" w:firstLine="5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(Приета от Общото събрание на учените в ИБФБМИ на 27 ноември 2014 г.)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 ПОЛОЖЕНИЯ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8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Системата за управление на риска в Института по биофизика и биомедицинско инженерство (ИБФБМИ) е разработена на основание чл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12,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.3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от Закона за финансовото управление и контрол в публичния сектор, както и на основание Писмо №72-00-84 от 15.08.2014 г. на Председателя на БАН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и съответства на "Стратегията за управление на риска в БАН", приета в изпълнение на чл. 12, ал. 3 от Закона за финансово управление и контрол в публичния сектор.</w:t>
      </w:r>
    </w:p>
    <w:p w:rsidR="00B67082" w:rsidRPr="00B67082" w:rsidRDefault="00B67082" w:rsidP="00B67082">
      <w:pPr>
        <w:autoSpaceDE w:val="0"/>
        <w:autoSpaceDN w:val="0"/>
        <w:adjustRightInd w:val="0"/>
        <w:spacing w:before="244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448">
        <w:rPr>
          <w:rFonts w:ascii="Times New Roman" w:hAnsi="Times New Roman" w:cs="Times New Roman"/>
          <w:color w:val="000000"/>
          <w:sz w:val="24"/>
          <w:szCs w:val="24"/>
        </w:rPr>
        <w:t>Системата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 за управление на риска в ИБФБМИ е </w:t>
      </w:r>
      <w:r>
        <w:rPr>
          <w:rFonts w:ascii="Times New Roman" w:hAnsi="Times New Roman" w:cs="Times New Roman"/>
          <w:color w:val="000000"/>
          <w:sz w:val="24"/>
          <w:szCs w:val="24"/>
        </w:rPr>
        <w:t>елемент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 от съвкупността документи, определящи Вътрешните правила за дейностите в Института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с който се определя рамката за постигане на унифициран подход в управлението на оперативната дейност на ИБФБМИ и звената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чрез използване на интегрирано и ефективно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Осигуряването на предварителна информация за потенциални негативни събития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за възможните методи за намаляване на влиянието и вероятността от настъпването им ще осигури възможност за вземане на най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правилните решения от </w:t>
      </w:r>
      <w:r w:rsidR="000C5448">
        <w:rPr>
          <w:rFonts w:ascii="Times New Roman" w:hAnsi="Times New Roman" w:cs="Times New Roman"/>
          <w:color w:val="000000"/>
          <w:sz w:val="24"/>
          <w:szCs w:val="24"/>
        </w:rPr>
        <w:t>Ръководството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с оглед постигане на определените цели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49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Настоящата </w:t>
      </w:r>
      <w:r w:rsidR="000C5448">
        <w:rPr>
          <w:rFonts w:ascii="Times New Roman" w:hAnsi="Times New Roman" w:cs="Times New Roman"/>
          <w:color w:val="000000"/>
          <w:sz w:val="24"/>
          <w:szCs w:val="24"/>
        </w:rPr>
        <w:t>Система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 цели прилагане на единен подход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включваш идентифициране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 оценка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анализ и реакция на рисковете и осигуряващ изпълнението и целите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Извършват се последователни и съгласувани действия за контролиране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както и прилагане на координацнонен механизъм за отчетност и докладване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Възприет е централизиран подход при управлението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който осигурява интегриране на резултатите по звена</w:t>
      </w:r>
      <w:r w:rsidR="000C544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по функционални направления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44"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Управлението на риска следва да се възприема като инструмент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подпомагащ управлението на ресурсите и успешното реализиране на целите на структурните звена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Неговата ефективност се определя от нивото на организираност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 задълбоченост и изчерпателност на прилагания процес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качеството на изпълняваните процедури и подготовката на участващия ръководен и експертен състав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54"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Стратегията за управление на риска се прилага от всички звена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като се отчитат специфичните правила при управлението на риска за всяко структурно звено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340BF7">
      <w:pPr>
        <w:autoSpaceDE w:val="0"/>
        <w:autoSpaceDN w:val="0"/>
        <w:adjustRightInd w:val="0"/>
        <w:spacing w:before="264" w:after="0" w:line="360" w:lineRule="auto"/>
        <w:ind w:right="4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>ІІ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ПОНЯТИЯ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"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Риск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"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е възможността да настъпи събитие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което ще повлияе върху постигане на целите на организацията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Рискът се измерва с неговия ефект и с вероятността от настъпването му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8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"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Значим риск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"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е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оценен съгласно професионалната преценка на постоянната работна група за управление на риска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ПРГУР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като висок или много висок и неможещ да се управлява ефективно на оперативно ниво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77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"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Процесьт на управление на риска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"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е последователността от действия на Ръководството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насочени към идентифициране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оценяване и контролиране на потенциални събития или ситуации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които могат да повлияят негативно върху постигане целите на организацията и е предназначен да даде разумна увереност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че целите ще бъдат постигнати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67082" w:rsidRDefault="00B67082" w:rsidP="00B67082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"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Система 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/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/ 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управление на риска</w:t>
      </w:r>
      <w:r w:rsidRPr="00B6708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"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е механизъм за взимане на решения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подпомагащ Директора на ИБФБМИ за постигане на целите и чрез който ресурсите на ИБФБМИ се разпределят така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че да се получи оптимално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before="115" w:after="0" w:line="360" w:lineRule="auto"/>
        <w:ind w:right="19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>ІІІ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МЕТОДОЛОГИЯ ЗА УПРАВЛЕНИЕ НА РИСКА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1.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Процес на управление на риска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</w:rPr>
        <w:t>Основните цели на процеса на управление на риска са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B67082" w:rsidRPr="00B67082" w:rsidRDefault="00B67082" w:rsidP="00340B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</w:rPr>
        <w:t>своевременното откриване и противодействие на значимите за ИБФБМИ 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B67082" w:rsidRPr="00B67082" w:rsidRDefault="00B67082" w:rsidP="00B670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своевременни промени в политиката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въз основа на оценката на ефективността на процеса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44"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1.1.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на процеса </w:t>
      </w:r>
    </w:p>
    <w:p w:rsidR="000C5448" w:rsidRDefault="00B67082" w:rsidP="000C5448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</w:rPr>
        <w:t>Управлението на риска е постоянен процес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Процесът на управление на риска може да бъде разделен на фази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с оглед описание на действията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</w:rPr>
        <w:t>които се извършват на всяка една от тях и начина на документиране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B67082" w:rsidRPr="00B67082" w:rsidRDefault="00B67082" w:rsidP="000C5448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Процесът на управление на риска се осъществява оперативно от всяко структурно звено в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 впоследствие се прави годишна оценка на значимите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като резултатите от оперативната оценка се обединяват и се определят значимите рискове за системата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се приоритизират и управляват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97" w:after="0" w:line="360" w:lineRule="auto"/>
        <w:ind w:right="15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1.1.1.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Фактори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които влияят 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върху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процеса на управление на риска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Оперативна среда 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рамката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която следва да се прилага управлението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Тя се състои от външни и вътрешни за ИБФБМИ фактори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които влияят 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върху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дейността 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numPr>
          <w:ilvl w:val="0"/>
          <w:numId w:val="1"/>
        </w:numPr>
        <w:autoSpaceDE w:val="0"/>
        <w:autoSpaceDN w:val="0"/>
        <w:adjustRightInd w:val="0"/>
        <w:spacing w:before="28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Външни фактори са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съществуващата нормативна уредба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;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икономическите условия в страната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финансирането и наличието на бюджетни ограничения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международни дейности и др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numPr>
          <w:ilvl w:val="0"/>
          <w:numId w:val="1"/>
        </w:numPr>
        <w:autoSpaceDE w:val="0"/>
        <w:autoSpaceDN w:val="0"/>
        <w:adjustRightInd w:val="0"/>
        <w:spacing w:before="24" w:after="0" w:line="360" w:lineRule="auto"/>
        <w:ind w:right="-233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Вътрешни фактори са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организацията на оперативните дейности в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дми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истрацията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наличните ресурси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действащите финансово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счетоводни 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I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системи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нови дейности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операции или функции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вътрешно преструктуриране на дейности и други.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1.1.2.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Цели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Целите на ИБФБМИ играят съществена роля в цялостния процес на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Те служат като отравна точка при идентифицирането на рисковете,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техния анализ и оценка и при определянето на подходяща 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Всяко решение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което се взема в рамките на процеса на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следва да бъде обвързано с крайния резултат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към който се стреми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Следователно,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процесът на управление на риска ще е насочен към осигуряване на благоприятни условия за постигане на целите на ИБФБМИ.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Всяка една последваща промяна на целите на ИБФБМИ ще даде отражение върху дейността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54"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lastRenderedPageBreak/>
        <w:t xml:space="preserve">1.2.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Етапи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а процеса на управление на риска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Процесът на управление на риска включва следните основни етапи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идентифициране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анализ и оценка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документиране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реакция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мониторинг и докладване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Всяка звено в системата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следва да идентифицира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анализира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реагира на рисковете и да изготви свой собствен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59"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1.2.1.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Идентифициране на рисковете </w:t>
      </w:r>
    </w:p>
    <w:p w:rsidR="00B67082" w:rsidRPr="00B67082" w:rsidRDefault="00B67082" w:rsidP="000C5448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Това е първият етап от процеса на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 който се откриват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биха могли да повлияят негативно върху изпълнението на целите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. От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съществено значение при идентифнкацията на рисковете 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B67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8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тяхното възможно най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пълно откриване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тъй като съществува голяма вероятност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не са идентифицирани в тази фаза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да не бъдат открити никога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моментът на идентифициране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тъй като колкото по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рано е открит един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толкова по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успешно ще бъде неговото противодействие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0C5448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Идентифицирането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са свързани с постигането на определена стратегическа или оперативна цел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следва да бъде описано най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общо по следния начин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B67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rtl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Описание на оперативните цели на звената и</w:t>
      </w:r>
      <w:r w:rsidRPr="00B67082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свързаните с тях дейности и процеси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Определяне на неблагоприятните външни и вътрешни събития,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които могат да настъпят и да повлияят 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върху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дейностите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процесите за постигане на оперативната цел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Групиране на рисковете по рискови области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могат да бъдат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Дългосрочни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могат да повлияят върху постигането на стратегическите цели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before="4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Оперативни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тези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 които звената се сблъсква ежедневно и заплашват изпълнението на оперативните процеси и дейности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before="4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Правни или регулаторни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възникващи от промяна в националното или на Европейския съюз трудово законодателство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tabs>
          <w:tab w:val="left" w:pos="715"/>
          <w:tab w:val="left" w:pos="3158"/>
        </w:tabs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sz w:val="24"/>
          <w:szCs w:val="24"/>
          <w:lang w:val="en-US" w:bidi="he-IL"/>
        </w:rPr>
        <w:tab/>
      </w: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Финансови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причинени от недостатъчно финансиране или от неефективво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неефикасно или неикономично разходване на средствата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-50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Управленски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причинени от вземане на неадекватни решения или от незадоволителни мерки за вътрешен контрол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недостиг на кадри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недостатъчна квалификация 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опит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неефективно обучение или липса на обучение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интензивно текучество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загуба на експертен потенциал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липса на приемственост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недостатъчна мотивация на персонала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промени в управленската структура или в управленския персонал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before="4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ab/>
        <w:t xml:space="preserve">Икономически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породени от особености 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или промяна в икономическата система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инфлация, преструктуриране на икономиката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финансова 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или икономическа криза и др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Договорни или партньорски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обичайните рискове при работа,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свързана с външни контрагенти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before="4"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Рискове за сигурността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причинени от кражби или злоупотреби с материални активи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парични средства или други финансови активи или нерегламентиран достъп до информация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Технологични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причинени от използването на стари или неефективни технологии или от използването на нови информационни системи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не са достатъчно изпробвани или служителите не са обучени на необходимото ниво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38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Екологични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поради настъпили екологични катастрофи или промени в климата като необичайни студове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горещини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наводнения и др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388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1.2.2.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Анализ и оценка на риска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Анализът и оценката на идентифицираните рискове имат за цел рисковете да бъдат анализирани и оценени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за да могат да бъдат определени съществените и значимите от тях и да се вземе решение как да се контролират и какво въздействие трябва да бъде оказано върху тях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.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каква трябва да бъде реакцията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Рисковете не могат да бъдат премахнати напълно,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 могат да бъдат значително намалени чрез предприемане на подходящи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Оценяването на идентифицирания риск се извършва от гледна точка на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B67082">
      <w:pPr>
        <w:autoSpaceDE w:val="0"/>
        <w:autoSpaceDN w:val="0"/>
        <w:adjustRightInd w:val="0"/>
        <w:spacing w:before="19"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•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Вероятността от настъпването му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характеризира предполагаемата честота на настъпване на неблагоприятиото събитие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before="19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proofErr w:type="gramStart"/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•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Влиянието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или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ефекта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което </w:t>
      </w:r>
      <w:r w:rsid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би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оказал 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рискът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върху постигане на дадената цел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показва какви могат да бъдат последиците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въздействието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 настъпване на събитието за постигане целите на организационната единица и за изпълнение на дейностите 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.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При оценката на риска въз основа на вероятността и влиянието,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 оценява  потенциалното влияние на присъщия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110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Присъщият риск е рискът за звеното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съществуващ при липсата на всякакви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предприети от ръководствата за промяна на вероятността или на въздействието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Рискът се оценява без да се взимат под внимание съществуващите контроли или други мерки за управлението му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 само естеството на дейността или процеса.</w:t>
      </w:r>
      <w:r w:rsidRPr="00B67082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ab/>
      </w:r>
      <w:r w:rsid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Вероятността и влиянието на присъщия риск се оценяват поотделно и се категоризират като високи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средни или ниски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 база на оценката на вероятността от настъпването им и тяхното влияние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рисковете се категоризират като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съществени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значителни и толерирани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tabs>
          <w:tab w:val="left" w:pos="5"/>
          <w:tab w:val="left" w:pos="706"/>
        </w:tabs>
        <w:autoSpaceDE w:val="0"/>
        <w:autoSpaceDN w:val="0"/>
        <w:adjustRightInd w:val="0"/>
        <w:spacing w:after="0" w:line="360" w:lineRule="auto"/>
        <w:ind w:left="709" w:right="19" w:hanging="143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Съществени рискове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обикновено това са група рискове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изискват незабавни действия и задълбочен поглед на дейностите по управление на риска</w:t>
      </w:r>
      <w:r w:rsid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B67082" w:rsidRPr="003F7E70" w:rsidRDefault="003F7E70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19" w:hanging="143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B67082"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Значими рискове </w:t>
      </w:r>
      <w:r w:rsidR="00B67082"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="00B67082"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те изискват постоянно наблюдение и изготвяне на съответни действия за намаляването им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</w:p>
    <w:p w:rsidR="00B67082" w:rsidRPr="00B67082" w:rsidRDefault="003F7E70" w:rsidP="003F7E70">
      <w:pPr>
        <w:autoSpaceDE w:val="0"/>
        <w:autoSpaceDN w:val="0"/>
        <w:adjustRightInd w:val="0"/>
        <w:spacing w:after="0" w:line="360" w:lineRule="auto"/>
        <w:ind w:left="709" w:right="19" w:hanging="143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л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ерирани рискове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те трябва да бъдат наблюдавани или при предприемане на допълнителни действия да се има предвид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разходите за осъществяване на контрол могат да надвишават ползата от намалението на риска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360" w:after="0" w:line="360" w:lineRule="auto"/>
        <w:ind w:right="1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2.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Реакция на рисковете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 като рисковете са идентифицирани и са оценени вероятността и влиянието им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трябва да се обмисли подходяща 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Предприемането на мерки и действия за реакция или отговор на идентифицираните и оценени рискове представлява много съществен етап от управлението на риска като цяло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10" w:firstLine="566"/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Видове реакция на риска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Възможни са следните варианти за 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ограничаване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прехвърляне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толериране и прекратяване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При избора на подходящи действия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 взема предвид изискването разходите за тях да не надхвърлят очакваните ползи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Този избор зависи и от преценката за нивото на остатъчните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организацията може да приеме,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без да се предприемат допълнителни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Възможните реакции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могат да бъдат предприети, са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3F7E70">
      <w:pPr>
        <w:autoSpaceDE w:val="0"/>
        <w:autoSpaceDN w:val="0"/>
        <w:adjustRightInd w:val="0"/>
        <w:spacing w:after="0" w:line="360" w:lineRule="auto"/>
        <w:ind w:right="33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ограничаване на риска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това е най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често срещаната 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която ръководителите следва да прилагат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Причината за това 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рискът рядко може да бъде изцяло избегнат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прехвърлен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Ето защо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следва да се изградят контроли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предоставящи разумна увереност за ограничаване на риска в приемливи параметри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зависимост от значимостта на риска и съобразно разходите за въвеждането на контролите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обект на тази реакция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трябва да се наблюдават периодично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3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прехвърляне на риска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ръководството на организацията може да прецени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че рискът е твърде висок и трябва да го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"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прехвърли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"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към друга организация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Класическият начин за прехвърляне на риска е застраховането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Ако дейността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свързана с постигането на определени цели,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 предмет на застраховане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препоръчително е ръководството да предприеме такива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случаите на застраховане възникват допълнителни разходи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но значително намалява показателят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"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влияние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".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Друг способ за прехвърляне на риска е сключването на споразумение с друга органи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з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ац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 силата на което се прехвърля дейността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заедно със съответните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 общо съгласие на страните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3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толериране на риска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такава реакция е възможна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само ако определени рискове имат ограничено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незначително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влияние върху постигане на целите или ако разходите за предприемане на действия са непропорционални на потенциалните ползи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тези случаи реакцията може да бъде толериране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Такива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обаче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трябва да бъдат постоянно наблюдавани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Възможно е различни външни или вътрешни фактори да окажат въздействие върху вероятността и влиянието и да изместят риска в друга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висока категория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3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прекратяване на риска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някои рискове могат да се намалят или ограничат до приемливо равнище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единствено чрез прекратяване на дейността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Бездействието на организацията също може да е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защото при него не могат да се постигнат целите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които е създадена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публичния сектор възможностите за прекратяване на риска са твърде ограничени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тъй като стратегическите цели се определят от правителствените програми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9" w:after="0" w:line="360" w:lineRule="auto"/>
        <w:ind w:right="10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Оценката на риска играе ключова роля при избора на подходяща реакция за намаляване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Към един и същи риск могат да бъдат предприети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включващи комби</w:t>
      </w:r>
      <w:r w:rsidR="000C5448">
        <w:rPr>
          <w:rFonts w:ascii="Times New Roman" w:hAnsi="Times New Roman" w:cs="Times New Roman"/>
          <w:color w:val="000000"/>
          <w:sz w:val="24"/>
          <w:szCs w:val="24"/>
          <w:lang w:bidi="he-IL"/>
        </w:rPr>
        <w:t>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ация от горепосочените реакции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Това най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вече се налага при високите рискове,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сериозно застрашават постигането на целите на организацията.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>При последващ преглед на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регистъра определената реакция към даден риск може да бъде променена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1B43B6" w:rsidRDefault="001B43B6" w:rsidP="00B67082">
      <w:pPr>
        <w:autoSpaceDE w:val="0"/>
        <w:autoSpaceDN w:val="0"/>
        <w:adjustRightInd w:val="0"/>
        <w:spacing w:before="364" w:after="0" w:line="360" w:lineRule="auto"/>
        <w:ind w:right="15" w:firstLine="566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B67082" w:rsidRPr="00B67082" w:rsidRDefault="00B67082" w:rsidP="00B67082">
      <w:pPr>
        <w:autoSpaceDE w:val="0"/>
        <w:autoSpaceDN w:val="0"/>
        <w:adjustRightInd w:val="0"/>
        <w:spacing w:before="364" w:after="0" w:line="360" w:lineRule="auto"/>
        <w:ind w:right="15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З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Документиране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Всяка основна дейност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свързана с управлението на рисковете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е необходимо да бъде документирана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да се осигури проследимост на целия процес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Документирането включва описване по подходящ начин на идентифицираните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избраната подходяща реакция 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действие и служителите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отговарят за изпълнението на тези действия в определени срокове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25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документиране на резултатие се изготвя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Основната информация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която се отразява в регистъра 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72"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идентифицираните съществени рискове за дейността на организацията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5"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оценката на тяхното влияние и вероятност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предприетите действия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реакции на риска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;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рисковете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които остават да съществуват след предприемане на описаните действия </w:t>
      </w: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>/</w:t>
      </w: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остатьчни рискове</w:t>
      </w: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/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и тяхната оценка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допълнителните действия за понижаване на остатъчните рискове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5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срок за изпълнение на допълнителните действия и служителите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отговорни за тяхното изпълнение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представяне на дейността по документиране на процеса по управление на рисковете се използва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 (Приложение №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1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)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before="115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Ако в резултат на настъпили съществени промени в рисковата среда бъдат идентифицирани неописани на предходен етап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действията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трябва да бъдат предприети за тяхното снижаване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се описват в колона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1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0 от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регистъра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тъй като на предходния преглед на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регистъра не са били предприемани никакви действия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.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B67082" w:rsidRPr="00B67082" w:rsidRDefault="00B67082" w:rsidP="00B67082">
      <w:pPr>
        <w:autoSpaceDE w:val="0"/>
        <w:autoSpaceDN w:val="0"/>
        <w:adjustRightInd w:val="0"/>
        <w:spacing w:before="388"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>4</w:t>
      </w:r>
      <w:r w:rsidRPr="00B67082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. Мониторинг и докладване</w:t>
      </w:r>
    </w:p>
    <w:p w:rsidR="00B67082" w:rsidRPr="00B67082" w:rsidRDefault="00B67082" w:rsidP="000F7991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Осигуряването на ефективност на процеса на управление на рисковете изисква редовно и непрекъснато систематично наблюдение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мониторинг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 всеки негов етап и периодично докладване на идентифицираните рискове и предприетите действия за тяхното снижаване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реакции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 осъществяване на систематично наблюдение,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регистърът се преглежда поне веднъж годишно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Определени рискове могат да бъдат преглеждани по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често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зависимост от тяхната специфика или особена значимост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Някои съществени рискове могат да изискват и ежедневен преглед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възникване на внезапни събития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регистърът може да се разглежда извънредно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без да се чака редовния преглед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F7E70">
      <w:pPr>
        <w:autoSpaceDE w:val="0"/>
        <w:autoSpaceDN w:val="0"/>
        <w:adjustRightInd w:val="0"/>
        <w:spacing w:after="0" w:line="360" w:lineRule="auto"/>
        <w:ind w:right="5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Целта на процеса по мониторинг и докладване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е да се наблюдава дали рисковият профил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вероятността и влиянието на идентифицираните рискове/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 променя и да дава увереност на ръководителя на организацията,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процесът на управление на риска остава ефективен във времето и са предприети необходимите действия за намаляване на риска до приемливо за организацията ниво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F7E70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Докладите относно управлението на рисковете в отделните структури и звена съдържат данни за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предприетите действия във връзка с процеса на управление на рисковете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39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изпълнението на планираните действия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заложени в регистрите на рисковете,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информация за ефективността им и в случай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че те не са били ефективни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анализ на причините за това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настъпила ли е промяна в описаните в регистрите рискове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нововъзникнали обстоятелства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които могат да предизвикат промяна в отразените в регистрите рискове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компетентността на служителите по отношение управлението на рисковете 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информация за преминали обучения/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3F7E70" w:rsidRDefault="00B67082" w:rsidP="003F7E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9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спазени ли са срокове за изготвяне на докладите</w:t>
      </w:r>
      <w:r w:rsidRPr="003F7E70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3F7E70" w:rsidRPr="003F7E70" w:rsidRDefault="003F7E70" w:rsidP="003F7E70">
      <w:pPr>
        <w:pStyle w:val="ListParagraph"/>
        <w:autoSpaceDE w:val="0"/>
        <w:autoSpaceDN w:val="0"/>
        <w:adjustRightInd w:val="0"/>
        <w:spacing w:after="0" w:line="360" w:lineRule="auto"/>
        <w:ind w:left="926" w:right="19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</w:p>
    <w:p w:rsidR="00B67082" w:rsidRPr="003F7E70" w:rsidRDefault="00B67082" w:rsidP="003F7E70">
      <w:pPr>
        <w:autoSpaceDE w:val="0"/>
        <w:autoSpaceDN w:val="0"/>
        <w:adjustRightInd w:val="0"/>
        <w:spacing w:after="0" w:line="360" w:lineRule="auto"/>
        <w:ind w:right="19" w:firstLine="566"/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</w:pP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IV. </w:t>
      </w: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ИЗГРАЖДАНЕ НА СИСТЕМА ЗА УПР АВЛЕНИЕ НА РИСКА</w:t>
      </w:r>
      <w:r w:rsidRPr="003F7E70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3F7E70" w:rsidP="003F7E70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Директорът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 ИБФБМИ и ръководителите на структурните звена в системата на ИБФБМИ,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отговорни за управлението на риска по смисъла на чл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2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 ЗФУКПС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осигуряват изпълнението на </w:t>
      </w:r>
      <w:r w:rsidR="001B43B6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Системата за управление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на риска като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3F7E70" w:rsidP="00B670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формират Постоянна работна група за управление на риска /П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P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ГУР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/; </w:t>
      </w:r>
    </w:p>
    <w:p w:rsidR="00B67082" w:rsidRPr="00B67082" w:rsidRDefault="003F7E70" w:rsidP="00B670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разглеждат докладите на Постоянната работната група по управление на риска и риск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както и промените в него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3F7E70" w:rsidP="00B670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предприемат действия за изпълнение на предложенията за подобряване на процеса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Съставът на Постоянната работната група се утвърждава от Директора 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се състои от председател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членове и секретар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Функции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Постоянната работната група за управление на риска има единствено консултативни и координираши функции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Постоянната работната група работи заедно със служителите на ръководни длъжности в звената,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като ги подпомага при идентифицирането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оценката и избора на подходяща реакция при управлението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rtl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1.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Отговорности на Постоянната работната група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: </w:t>
      </w:r>
    </w:p>
    <w:p w:rsidR="00B67082" w:rsidRPr="00B67082" w:rsidRDefault="00B67082" w:rsidP="003F7E70">
      <w:pPr>
        <w:autoSpaceDE w:val="0"/>
        <w:autoSpaceDN w:val="0"/>
        <w:adjustRightInd w:val="0"/>
        <w:spacing w:after="0" w:line="360" w:lineRule="auto"/>
        <w:ind w:right="1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rtl/>
          <w:lang w:val="en-US" w:bidi="he-IL"/>
        </w:rPr>
        <w:t xml:space="preserve"> </w:t>
      </w:r>
      <w:r w:rsidR="003F7E70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Извършва редовен преглед на Стратегията за управление на риска и прави предложения за актуализирането й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3F7E70" w:rsidP="003F7E70">
      <w:pPr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Отговаря за разработването и поддържането на риск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3F7E70" w:rsidP="003F7E70">
      <w:pPr>
        <w:autoSpaceDE w:val="0"/>
        <w:autoSpaceDN w:val="0"/>
        <w:adjustRightInd w:val="0"/>
        <w:spacing w:after="0" w:line="360" w:lineRule="auto"/>
        <w:ind w:left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Изготвя годишен доклад за управлението на риска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B67082" w:rsidRPr="00B67082" w:rsidRDefault="003F7E70" w:rsidP="003F7E70">
      <w:pPr>
        <w:autoSpaceDE w:val="0"/>
        <w:autoSpaceDN w:val="0"/>
        <w:adjustRightInd w:val="0"/>
        <w:spacing w:before="4" w:after="0" w:line="360" w:lineRule="auto"/>
        <w:ind w:left="566" w:right="14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-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Провежда ежегодно заседание за управление на риска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 което се извършва годишен преглед на идентифицираните рискове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съшествуваши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нововъзниквали и отпаднали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/. </w:t>
      </w:r>
    </w:p>
    <w:p w:rsidR="00B67082" w:rsidRPr="00B67082" w:rsidRDefault="00B67082" w:rsidP="00B67082">
      <w:pPr>
        <w:autoSpaceDE w:val="0"/>
        <w:autoSpaceDN w:val="0"/>
        <w:adjustRightInd w:val="0"/>
        <w:spacing w:before="235"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Управление на риска на ниво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F7E70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Постоянната работна група по управление на риска в ИБФБМИ провежда ежегодно заседание за управление на риска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 срок до </w:t>
      </w:r>
      <w:r w:rsidR="00DA5C82">
        <w:rPr>
          <w:rFonts w:ascii="Times New Roman" w:hAnsi="Times New Roman" w:cs="Times New Roman"/>
          <w:color w:val="000000"/>
          <w:sz w:val="24"/>
          <w:szCs w:val="24"/>
          <w:lang w:bidi="he-IL"/>
        </w:rPr>
        <w:t>10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="00DA5C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април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2.1.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На заседанието се извършва годишен преглед на дейностите на звената по идентифицираните в дейността им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съществуващи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нововъзникнали и отпаднали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 представените доклади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rtl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2.2.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ПРГУР формулира значимите рискове в документ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-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Таблица на </w:t>
      </w: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значимите рискове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 ИБФБМИ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изготвена в резултат на заседанието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и набелязва действия за минимизирането </w:t>
      </w:r>
      <w:proofErr w:type="spellStart"/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им</w:t>
      </w:r>
      <w:proofErr w:type="spellEnd"/>
      <w:r w:rsidRPr="00B67082">
        <w:rPr>
          <w:rFonts w:ascii="Times New Roman" w:hAnsi="Times New Roman" w:cs="Times New Roman"/>
          <w:color w:val="000000"/>
          <w:sz w:val="24"/>
          <w:szCs w:val="24"/>
          <w:rtl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2.3. </w:t>
      </w:r>
      <w:proofErr w:type="gramStart"/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ПРГУР  изготвя</w:t>
      </w:r>
      <w:proofErr w:type="gramEnd"/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регистър на значимите рискове за ИБФБМИ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/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изготвен в резултат на заседанието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/,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който се определят контролните дейности и превантивните мерки за всеки от значимите рискове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2.4.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Попълва се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 НА ЗНАЧИМИТЕ РИСКОВЕ В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B67082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i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lastRenderedPageBreak/>
        <w:t xml:space="preserve">2.5.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ПРГУР изготвя ежегоден </w:t>
      </w: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>Доклад за състоянието на системата за управление на рисковете в ИБФБМИ</w:t>
      </w:r>
      <w:r w:rsidR="00340BF7">
        <w:rPr>
          <w:rFonts w:ascii="Times New Roman" w:hAnsi="Times New Roman" w:cs="Times New Roman"/>
          <w:i/>
          <w:color w:val="000000"/>
          <w:sz w:val="24"/>
          <w:szCs w:val="24"/>
          <w:lang w:bidi="he-IL"/>
        </w:rPr>
        <w:t xml:space="preserve">. </w:t>
      </w:r>
      <w:r w:rsidR="00340BF7"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Докладът се представя на Директора в срок до </w:t>
      </w:r>
      <w:r w:rsidR="00DA5C82">
        <w:rPr>
          <w:rFonts w:ascii="Times New Roman" w:hAnsi="Times New Roman" w:cs="Times New Roman"/>
          <w:color w:val="000000"/>
          <w:sz w:val="24"/>
          <w:szCs w:val="24"/>
          <w:lang w:bidi="he-IL"/>
        </w:rPr>
        <w:t>20 април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заедно с Доклад за състоянието на системата за управление на рисковете при звената на ИБФБМИ и включва </w:t>
      </w:r>
      <w:r w:rsid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т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аблица на значимите рискове и риск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регистъра на значимите рискове за ИБФБМИ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изготвяне на доклада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ПРГУР  взема предвид и констатациите на външния и вътрешен одит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.</w:t>
      </w:r>
      <w:r w:rsidRPr="00B67082">
        <w:rPr>
          <w:rFonts w:ascii="Times New Roman" w:hAnsi="Times New Roman" w:cs="Times New Roman"/>
          <w:i/>
          <w:color w:val="000000"/>
          <w:sz w:val="24"/>
          <w:szCs w:val="24"/>
          <w:lang w:val="en-US" w:bidi="he-IL"/>
        </w:rPr>
        <w:t xml:space="preserve"> </w:t>
      </w:r>
    </w:p>
    <w:p w:rsidR="00B67082" w:rsidRPr="00340BF7" w:rsidRDefault="00B67082" w:rsidP="00B67082">
      <w:pPr>
        <w:autoSpaceDE w:val="0"/>
        <w:autoSpaceDN w:val="0"/>
        <w:adjustRightInd w:val="0"/>
        <w:spacing w:after="0" w:line="360" w:lineRule="auto"/>
        <w:ind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2.6. 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регистърът на значимите за ИБФБМИ рискове се утвърждава от Директора на ИБФБМИ</w:t>
      </w:r>
      <w:r w:rsidRPr="00340BF7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bookmarkStart w:id="0" w:name="_GoBack"/>
      <w:bookmarkEnd w:id="0"/>
    </w:p>
    <w:p w:rsidR="00B67082" w:rsidRPr="00340BF7" w:rsidRDefault="00B67082" w:rsidP="00B67082">
      <w:pPr>
        <w:autoSpaceDE w:val="0"/>
        <w:autoSpaceDN w:val="0"/>
        <w:adjustRightInd w:val="0"/>
        <w:spacing w:before="532" w:after="0" w:line="360" w:lineRule="auto"/>
        <w:ind w:right="14" w:firstLine="566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proofErr w:type="gramStart"/>
      <w:r w:rsidRPr="00340BF7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>V</w:t>
      </w:r>
      <w:r w:rsidRPr="00340B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П</w:t>
      </w:r>
      <w:r w:rsidRPr="00340BF7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>.</w:t>
      </w:r>
      <w:proofErr w:type="gramEnd"/>
      <w:r w:rsidRPr="00340BF7">
        <w:rPr>
          <w:rFonts w:ascii="Times New Roman" w:hAnsi="Times New Roman" w:cs="Times New Roman"/>
          <w:b/>
          <w:color w:val="000000"/>
          <w:sz w:val="24"/>
          <w:szCs w:val="24"/>
          <w:lang w:val="en-US" w:bidi="he-IL"/>
        </w:rPr>
        <w:t xml:space="preserve"> </w:t>
      </w:r>
      <w:r w:rsidRPr="00340BF7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 xml:space="preserve">ЗАКЛЮЧИТЕЛНИ РАЗПОРЕДБИ </w:t>
      </w:r>
    </w:p>
    <w:p w:rsidR="00B67082" w:rsidRPr="00B67082" w:rsidRDefault="001B43B6" w:rsidP="00340BF7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Системата за управление на риска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обхваща периода от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2014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г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2016 </w:t>
      </w:r>
      <w:r w:rsidR="00340BF7">
        <w:rPr>
          <w:rFonts w:ascii="Times New Roman" w:hAnsi="Times New Roman" w:cs="Times New Roman"/>
          <w:color w:val="000000"/>
          <w:sz w:val="24"/>
          <w:szCs w:val="24"/>
          <w:lang w:bidi="he-IL"/>
        </w:rPr>
        <w:t>г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., 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като се актуализира на всеки три години или при настъпване на съществени промени в рисковата среда</w:t>
      </w:r>
      <w:r w:rsidR="00B67082"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9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Директорът на ИБФБМИ утвърждава до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31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декември всяка година оперативен план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който съдържа оперативните цели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конкретните дейности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сроковете,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очакваните резултати и индикаторите за изпълнение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Pr="00B67082" w:rsidRDefault="00B67082" w:rsidP="00340BF7">
      <w:pPr>
        <w:autoSpaceDE w:val="0"/>
        <w:autoSpaceDN w:val="0"/>
        <w:adjustRightInd w:val="0"/>
        <w:spacing w:after="0" w:line="360" w:lineRule="auto"/>
        <w:ind w:right="4" w:firstLine="566"/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Работна група,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назначена със заповед на Директора на ИБФБМИ, изготвя и представя чрез ПРГУР обобщен план за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обобщен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обобщен доклад за изпълнение на дейностите по риск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>-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регистъра на звената и обобщен отчет за изпълнение на оперативния план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B67082" w:rsidRDefault="00B67082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Оповорностите на Вътрешния одит в ИБФБМИ за свързани с подпомагане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наблюдаване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bidi="he-IL"/>
        </w:rPr>
        <w:t>оценка на процеса по управление на риска в рамките на определените правомощия и предоставяне на препоръки за подобряване на този процес в системата на ИБФБМИ</w:t>
      </w:r>
      <w:r w:rsidRPr="00B67082">
        <w:rPr>
          <w:rFonts w:ascii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Приложение 1.</w:t>
      </w: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Риск – регистър на ИБФБМИ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1189"/>
        <w:gridCol w:w="834"/>
        <w:gridCol w:w="1033"/>
        <w:gridCol w:w="887"/>
        <w:gridCol w:w="1287"/>
        <w:gridCol w:w="1033"/>
        <w:gridCol w:w="1196"/>
        <w:gridCol w:w="590"/>
        <w:gridCol w:w="1061"/>
      </w:tblGrid>
      <w:tr w:rsidR="006835A4" w:rsidRPr="006835A4" w:rsidTr="006835A4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Цел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Риск</w:t>
            </w:r>
            <w:r w:rsid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ове</w:t>
            </w:r>
          </w:p>
        </w:tc>
        <w:tc>
          <w:tcPr>
            <w:tcW w:w="0" w:type="auto"/>
            <w:tcBorders>
              <w:right w:val="nil"/>
            </w:tcBorders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Оценка</w:t>
            </w:r>
          </w:p>
        </w:tc>
        <w:tc>
          <w:tcPr>
            <w:tcW w:w="0" w:type="auto"/>
            <w:tcBorders>
              <w:left w:val="nil"/>
            </w:tcBorders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на риска</w:t>
            </w: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Действия</w:t>
            </w:r>
          </w:p>
        </w:tc>
        <w:tc>
          <w:tcPr>
            <w:tcW w:w="0" w:type="auto"/>
            <w:tcBorders>
              <w:right w:val="nil"/>
            </w:tcBorders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Оценка на</w:t>
            </w:r>
          </w:p>
          <w:p w:rsidR="006835A4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остатъчния риск</w:t>
            </w:r>
          </w:p>
        </w:tc>
        <w:tc>
          <w:tcPr>
            <w:tcW w:w="0" w:type="auto"/>
            <w:tcBorders>
              <w:left w:val="nil"/>
            </w:tcBorders>
          </w:tcPr>
          <w:p w:rsidR="006835A4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6835A4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Допъл-нителни</w:t>
            </w:r>
          </w:p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действия</w:t>
            </w: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Срок</w:t>
            </w: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Отговорник</w:t>
            </w: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Влияние</w:t>
            </w: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Вероятност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Влияние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Вероятност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3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5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7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8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9</w:t>
            </w: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10</w:t>
            </w: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6835A4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 w:rsidRPr="006835A4"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І. Съществен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и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1.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...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ІІ.</w:t>
            </w:r>
          </w:p>
          <w:p w:rsidR="006835A4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Значими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1.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  <w:tr w:rsidR="006835A4" w:rsidRPr="006835A4" w:rsidTr="007716E9"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6835A4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  <w:t>...</w:t>
            </w: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</w:tcPr>
          <w:p w:rsidR="007716E9" w:rsidRPr="006835A4" w:rsidRDefault="007716E9" w:rsidP="00B67082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color w:val="000000"/>
                <w:sz w:val="16"/>
                <w:szCs w:val="16"/>
                <w:lang w:bidi="he-IL"/>
              </w:rPr>
            </w:pPr>
          </w:p>
        </w:tc>
      </w:tr>
    </w:tbl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7716E9" w:rsidRPr="007716E9" w:rsidRDefault="007716E9" w:rsidP="00B67082">
      <w:pPr>
        <w:autoSpaceDE w:val="0"/>
        <w:autoSpaceDN w:val="0"/>
        <w:adjustRightInd w:val="0"/>
        <w:spacing w:after="0" w:line="360" w:lineRule="auto"/>
        <w:ind w:right="29" w:firstLine="566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2171A5" w:rsidRPr="00B67082" w:rsidRDefault="002171A5" w:rsidP="00B67082">
      <w:pPr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sectPr w:rsidR="002171A5" w:rsidRPr="00B67082" w:rsidSect="00081B62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BC" w:rsidRDefault="001F1FBC" w:rsidP="00340BF7">
      <w:pPr>
        <w:spacing w:after="0" w:line="240" w:lineRule="auto"/>
      </w:pPr>
      <w:r>
        <w:separator/>
      </w:r>
    </w:p>
  </w:endnote>
  <w:endnote w:type="continuationSeparator" w:id="0">
    <w:p w:rsidR="001F1FBC" w:rsidRDefault="001F1FBC" w:rsidP="0034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8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BF7" w:rsidRDefault="00340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C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BF7" w:rsidRDefault="0034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BC" w:rsidRDefault="001F1FBC" w:rsidP="00340BF7">
      <w:pPr>
        <w:spacing w:after="0" w:line="240" w:lineRule="auto"/>
      </w:pPr>
      <w:r>
        <w:separator/>
      </w:r>
    </w:p>
  </w:footnote>
  <w:footnote w:type="continuationSeparator" w:id="0">
    <w:p w:rsidR="001F1FBC" w:rsidRDefault="001F1FBC" w:rsidP="0034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E3BBE"/>
    <w:lvl w:ilvl="0">
      <w:numFmt w:val="bullet"/>
      <w:lvlText w:val="*"/>
      <w:lvlJc w:val="left"/>
    </w:lvl>
  </w:abstractNum>
  <w:abstractNum w:abstractNumId="1">
    <w:nsid w:val="52E56789"/>
    <w:multiLevelType w:val="hybridMultilevel"/>
    <w:tmpl w:val="E106443E"/>
    <w:lvl w:ilvl="0" w:tplc="357A13B8">
      <w:start w:val="1"/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82"/>
    <w:rsid w:val="000C5448"/>
    <w:rsid w:val="000F7991"/>
    <w:rsid w:val="001561CC"/>
    <w:rsid w:val="001B43B6"/>
    <w:rsid w:val="001F1FBC"/>
    <w:rsid w:val="002171A5"/>
    <w:rsid w:val="00340BF7"/>
    <w:rsid w:val="003F7E70"/>
    <w:rsid w:val="005A0F65"/>
    <w:rsid w:val="006835A4"/>
    <w:rsid w:val="007716E9"/>
    <w:rsid w:val="00802A0D"/>
    <w:rsid w:val="00865F14"/>
    <w:rsid w:val="008D3FD1"/>
    <w:rsid w:val="00B67082"/>
    <w:rsid w:val="00DA5C82"/>
    <w:rsid w:val="00F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F7"/>
  </w:style>
  <w:style w:type="paragraph" w:styleId="Footer">
    <w:name w:val="footer"/>
    <w:basedOn w:val="Normal"/>
    <w:link w:val="FooterChar"/>
    <w:uiPriority w:val="99"/>
    <w:unhideWhenUsed/>
    <w:rsid w:val="0034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F7"/>
  </w:style>
  <w:style w:type="paragraph" w:styleId="BalloonText">
    <w:name w:val="Balloon Text"/>
    <w:basedOn w:val="Normal"/>
    <w:link w:val="BalloonTextChar"/>
    <w:uiPriority w:val="99"/>
    <w:semiHidden/>
    <w:unhideWhenUsed/>
    <w:rsid w:val="007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F7"/>
  </w:style>
  <w:style w:type="paragraph" w:styleId="Footer">
    <w:name w:val="footer"/>
    <w:basedOn w:val="Normal"/>
    <w:link w:val="FooterChar"/>
    <w:uiPriority w:val="99"/>
    <w:unhideWhenUsed/>
    <w:rsid w:val="00340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F7"/>
  </w:style>
  <w:style w:type="paragraph" w:styleId="BalloonText">
    <w:name w:val="Balloon Text"/>
    <w:basedOn w:val="Normal"/>
    <w:link w:val="BalloonTextChar"/>
    <w:uiPriority w:val="99"/>
    <w:semiHidden/>
    <w:unhideWhenUsed/>
    <w:rsid w:val="007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lastModifiedBy>Maya</cp:lastModifiedBy>
  <cp:revision>6</cp:revision>
  <cp:lastPrinted>2014-11-13T13:44:00Z</cp:lastPrinted>
  <dcterms:created xsi:type="dcterms:W3CDTF">2014-11-13T12:56:00Z</dcterms:created>
  <dcterms:modified xsi:type="dcterms:W3CDTF">2015-06-09T12:18:00Z</dcterms:modified>
</cp:coreProperties>
</file>