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2B" w:rsidRDefault="00AA5CF7">
      <w:pPr>
        <w:spacing w:after="0"/>
        <w:jc w:val="center"/>
      </w:pPr>
      <w:r>
        <w:rPr>
          <w:noProof/>
          <w:lang w:eastAsia="ja-JP"/>
        </w:rPr>
        <w:drawing>
          <wp:inline distT="0" distB="0" distL="0" distR="0">
            <wp:extent cx="5191125"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tretch>
                      <a:fillRect/>
                    </a:stretch>
                  </pic:blipFill>
                  <pic:spPr bwMode="auto">
                    <a:xfrm>
                      <a:off x="0" y="0"/>
                      <a:ext cx="5191125" cy="971550"/>
                    </a:xfrm>
                    <a:prstGeom prst="rect">
                      <a:avLst/>
                    </a:prstGeom>
                  </pic:spPr>
                </pic:pic>
              </a:graphicData>
            </a:graphic>
          </wp:inline>
        </w:drawing>
      </w:r>
    </w:p>
    <w:p w:rsidR="0073612B" w:rsidRDefault="0073612B">
      <w:pPr>
        <w:spacing w:after="0"/>
        <w:jc w:val="center"/>
      </w:pPr>
    </w:p>
    <w:p w:rsidR="0073612B" w:rsidRDefault="0073612B">
      <w:pPr>
        <w:spacing w:after="0"/>
        <w:jc w:val="center"/>
      </w:pPr>
    </w:p>
    <w:p w:rsidR="0073612B" w:rsidRDefault="00AA5CF7">
      <w:pPr>
        <w:spacing w:after="0"/>
        <w:jc w:val="center"/>
      </w:pPr>
      <w:r>
        <w:rPr>
          <w:rFonts w:ascii="Times New Roman" w:hAnsi="Times New Roman" w:cs="Times New Roman"/>
          <w:b/>
          <w:sz w:val="24"/>
          <w:szCs w:val="24"/>
        </w:rPr>
        <w:t>МЕТОДИЧЕСКИ УКАЗАНИЯ И АТЕСТАЦИОННА КАРТА</w:t>
      </w:r>
      <w:r>
        <w:rPr>
          <w:rFonts w:ascii="Times New Roman" w:hAnsi="Times New Roman" w:cs="Times New Roman"/>
          <w:b/>
          <w:sz w:val="24"/>
          <w:szCs w:val="24"/>
        </w:rPr>
        <w:br/>
        <w:t xml:space="preserve">за извършване на периодична атестация </w:t>
      </w:r>
      <w:r>
        <w:rPr>
          <w:rFonts w:ascii="Times New Roman" w:hAnsi="Times New Roman" w:cs="Times New Roman"/>
          <w:b/>
          <w:sz w:val="24"/>
          <w:szCs w:val="24"/>
        </w:rPr>
        <w:br/>
        <w:t>на академичния състав и специалистите-изследователи в ИБФБМИ – БАН</w:t>
      </w:r>
    </w:p>
    <w:p w:rsidR="0073612B" w:rsidRDefault="0073612B">
      <w:pPr>
        <w:spacing w:after="0"/>
        <w:jc w:val="center"/>
        <w:rPr>
          <w:rFonts w:ascii="Times New Roman" w:hAnsi="Times New Roman" w:cs="Times New Roman"/>
          <w:b/>
          <w:sz w:val="24"/>
          <w:szCs w:val="24"/>
        </w:rPr>
      </w:pPr>
    </w:p>
    <w:p w:rsidR="0073612B" w:rsidRDefault="0073612B">
      <w:pPr>
        <w:spacing w:after="0"/>
        <w:jc w:val="center"/>
        <w:rPr>
          <w:rFonts w:ascii="Times New Roman" w:hAnsi="Times New Roman" w:cs="Times New Roman"/>
          <w:b/>
          <w:sz w:val="24"/>
          <w:szCs w:val="24"/>
        </w:rPr>
      </w:pPr>
    </w:p>
    <w:p w:rsidR="0073612B" w:rsidRDefault="00AA5CF7">
      <w:p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Настоящите „Методически указания и атестационна карта за извършване на периодична атестация на академичния състав и специалистите-изследователи в ИБФБМИ“ са изработени в съответствие </w:t>
      </w:r>
      <w:r>
        <w:rPr>
          <w:rFonts w:ascii="Times New Roman" w:hAnsi="Times New Roman" w:cs="Times New Roman"/>
          <w:bCs/>
          <w:color w:val="000000"/>
          <w:sz w:val="24"/>
          <w:szCs w:val="24"/>
        </w:rPr>
        <w:t>„Методическите указания и базисна атестационна карта за учен“ (приети от Общото събрание (ОС)  на БАН на 19.04.2010 г. и актуализирани от ОС на БАН на 09.11.2020 г.), „Критерии и показатели за оценка на научно-изследователската дейност, осъществявана от институтите на БАН“ (приети от ОС на БАН на 05.02.2018 г., актуализирани на 22.07.2019 г., 06.12.2021 г. и 21.03.2022 г.). „</w:t>
      </w:r>
      <w:r>
        <w:rPr>
          <w:rFonts w:ascii="Times New Roman" w:hAnsi="Times New Roman" w:cs="Times New Roman"/>
          <w:sz w:val="24"/>
          <w:szCs w:val="24"/>
        </w:rPr>
        <w:t>Методически указания и атестационна карта за извършване на периодична атестация на академичния състав и специалистите-изследователи в ИБФБМИ“ са неизменна част от „</w:t>
      </w:r>
      <w:hyperlink r:id="rId8" w:history="1">
        <w:r w:rsidRPr="004011D5">
          <w:rPr>
            <w:rStyle w:val="Hyperlink"/>
            <w:rFonts w:ascii="Times New Roman" w:hAnsi="Times New Roman" w:cs="Times New Roman"/>
            <w:sz w:val="24"/>
            <w:szCs w:val="24"/>
          </w:rPr>
          <w:t>Правилата за провеждане на атестация на служителите в ИБФБМИ</w:t>
        </w:r>
      </w:hyperlink>
      <w:r>
        <w:rPr>
          <w:rStyle w:val="FontStyle15"/>
          <w:rFonts w:ascii="Times New Roman" w:hAnsi="Times New Roman" w:cs="Times New Roman"/>
          <w:b w:val="0"/>
          <w:sz w:val="24"/>
          <w:szCs w:val="24"/>
        </w:rPr>
        <w:t>“.</w:t>
      </w:r>
    </w:p>
    <w:p w:rsidR="0073612B" w:rsidRDefault="0073612B">
      <w:pPr>
        <w:spacing w:after="0"/>
        <w:rPr>
          <w:rFonts w:ascii="Times New Roman" w:hAnsi="Times New Roman" w:cs="Times New Roman"/>
          <w:b/>
          <w:sz w:val="24"/>
          <w:szCs w:val="24"/>
        </w:rPr>
      </w:pPr>
    </w:p>
    <w:p w:rsidR="0073612B" w:rsidRDefault="00AA5CF7">
      <w:pPr>
        <w:spacing w:after="0"/>
        <w:jc w:val="center"/>
        <w:rPr>
          <w:rFonts w:ascii="Times New Roman" w:hAnsi="Times New Roman"/>
          <w:b/>
          <w:sz w:val="24"/>
          <w:szCs w:val="24"/>
        </w:rPr>
      </w:pPr>
      <w:r>
        <w:rPr>
          <w:rFonts w:ascii="Times New Roman" w:hAnsi="Times New Roman" w:cs="Times New Roman"/>
          <w:b/>
          <w:sz w:val="24"/>
          <w:szCs w:val="24"/>
        </w:rPr>
        <w:t>I. Общи разпоредби</w:t>
      </w:r>
    </w:p>
    <w:p w:rsidR="0073612B" w:rsidRDefault="00AA5CF7">
      <w:pPr>
        <w:pStyle w:val="ListParagraph"/>
        <w:numPr>
          <w:ilvl w:val="0"/>
          <w:numId w:val="3"/>
        </w:numPr>
        <w:ind w:left="360"/>
        <w:jc w:val="both"/>
        <w:rPr>
          <w:rFonts w:ascii="Times New Roman" w:hAnsi="Times New Roman"/>
          <w:sz w:val="24"/>
          <w:szCs w:val="24"/>
        </w:rPr>
      </w:pPr>
      <w:r>
        <w:rPr>
          <w:rFonts w:ascii="Times New Roman" w:hAnsi="Times New Roman" w:cs="Times New Roman"/>
          <w:sz w:val="24"/>
          <w:szCs w:val="24"/>
        </w:rPr>
        <w:t xml:space="preserve">Атестацията има за цел да установи и оцени равнището на извършваната дейност (научно-изследователска, приложна, учебно-образователна, административно-организационна и експертна) от </w:t>
      </w:r>
      <w:r>
        <w:rPr>
          <w:rFonts w:ascii="Times New Roman" w:hAnsi="Times New Roman"/>
          <w:sz w:val="24"/>
          <w:szCs w:val="24"/>
        </w:rPr>
        <w:t>научния състав (</w:t>
      </w:r>
      <w:r>
        <w:rPr>
          <w:rFonts w:ascii="Times New Roman" w:hAnsi="Times New Roman" w:cs="Times New Roman"/>
          <w:sz w:val="24"/>
          <w:szCs w:val="24"/>
        </w:rPr>
        <w:t>академичният състав и специалистите-изследователи) на ИБФБМИ. Атестацията е средство, на основата на чиито резултати органите за управление на ИБФБМИ преценяват капацитета на всеки служител и неговите възможности да изпълнява мисията и задачите на Института.</w:t>
      </w:r>
    </w:p>
    <w:p w:rsidR="0073612B" w:rsidRDefault="00AA5CF7">
      <w:pPr>
        <w:pStyle w:val="ListParagraph"/>
        <w:numPr>
          <w:ilvl w:val="0"/>
          <w:numId w:val="3"/>
        </w:numPr>
        <w:ind w:left="360"/>
        <w:jc w:val="both"/>
        <w:rPr>
          <w:rFonts w:ascii="Times New Roman" w:hAnsi="Times New Roman"/>
          <w:sz w:val="24"/>
          <w:szCs w:val="24"/>
        </w:rPr>
      </w:pPr>
      <w:r>
        <w:rPr>
          <w:rFonts w:ascii="Times New Roman" w:hAnsi="Times New Roman" w:cs="Times New Roman"/>
          <w:sz w:val="24"/>
          <w:szCs w:val="24"/>
        </w:rPr>
        <w:t>Периодът на атестация обхваща последните три години преди годината, в която се извършва атестацията.</w:t>
      </w:r>
    </w:p>
    <w:p w:rsidR="0073612B" w:rsidRDefault="00AA5CF7">
      <w:pPr>
        <w:pStyle w:val="ListParagraph"/>
        <w:numPr>
          <w:ilvl w:val="0"/>
          <w:numId w:val="3"/>
        </w:numPr>
        <w:ind w:left="360"/>
        <w:jc w:val="both"/>
        <w:rPr>
          <w:rFonts w:ascii="Times New Roman" w:hAnsi="Times New Roman"/>
          <w:sz w:val="24"/>
          <w:szCs w:val="24"/>
        </w:rPr>
      </w:pPr>
      <w:r>
        <w:rPr>
          <w:rFonts w:ascii="Times New Roman" w:hAnsi="Times New Roman" w:cs="Times New Roman"/>
          <w:sz w:val="24"/>
          <w:szCs w:val="24"/>
        </w:rPr>
        <w:t xml:space="preserve">Задължително се атестират всички учени на безсрочен трудов договор в ИБФБМИ, включително назначените на непълно работно време. </w:t>
      </w:r>
    </w:p>
    <w:p w:rsidR="0073612B" w:rsidRDefault="00AA5CF7">
      <w:pPr>
        <w:pStyle w:val="ListParagraph"/>
        <w:numPr>
          <w:ilvl w:val="0"/>
          <w:numId w:val="3"/>
        </w:numPr>
        <w:ind w:left="360"/>
        <w:jc w:val="both"/>
        <w:rPr>
          <w:rFonts w:ascii="Times New Roman" w:hAnsi="Times New Roman"/>
          <w:sz w:val="24"/>
          <w:szCs w:val="24"/>
        </w:rPr>
      </w:pPr>
      <w:r>
        <w:rPr>
          <w:rFonts w:ascii="Times New Roman" w:hAnsi="Times New Roman" w:cs="Times New Roman"/>
          <w:sz w:val="24"/>
          <w:szCs w:val="24"/>
        </w:rPr>
        <w:t xml:space="preserve">На задължителна атестация не подлежат следните учени: </w:t>
      </w:r>
    </w:p>
    <w:p w:rsidR="0073612B" w:rsidRDefault="00AA5CF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учени, работили под две години в ИБФБМИ; </w:t>
      </w:r>
    </w:p>
    <w:p w:rsidR="0073612B" w:rsidRDefault="00AA5CF7">
      <w:pPr>
        <w:pStyle w:val="ListParagraph"/>
        <w:numPr>
          <w:ilvl w:val="0"/>
          <w:numId w:val="4"/>
        </w:numPr>
        <w:jc w:val="both"/>
        <w:rPr>
          <w:rFonts w:ascii="Times New Roman" w:hAnsi="Times New Roman" w:cs="Times New Roman"/>
          <w:sz w:val="24"/>
          <w:szCs w:val="24"/>
        </w:rPr>
      </w:pPr>
      <w:r>
        <w:rPr>
          <w:rFonts w:ascii="Times New Roman" w:hAnsi="Times New Roman"/>
          <w:sz w:val="24"/>
          <w:szCs w:val="24"/>
        </w:rPr>
        <w:t>учени</w:t>
      </w:r>
      <w:r>
        <w:rPr>
          <w:rFonts w:ascii="Times New Roman" w:hAnsi="Times New Roman" w:cs="Times New Roman"/>
          <w:sz w:val="24"/>
          <w:szCs w:val="24"/>
        </w:rPr>
        <w:t xml:space="preserve"> на срочен трудов договор; </w:t>
      </w:r>
    </w:p>
    <w:p w:rsidR="0073612B" w:rsidRDefault="00AA5CF7">
      <w:pPr>
        <w:pStyle w:val="ListParagraph"/>
        <w:numPr>
          <w:ilvl w:val="0"/>
          <w:numId w:val="4"/>
        </w:numPr>
        <w:jc w:val="both"/>
        <w:rPr>
          <w:rFonts w:ascii="Times New Roman" w:hAnsi="Times New Roman" w:cs="Times New Roman"/>
          <w:sz w:val="24"/>
          <w:szCs w:val="24"/>
        </w:rPr>
      </w:pPr>
      <w:r>
        <w:rPr>
          <w:rFonts w:ascii="Times New Roman" w:hAnsi="Times New Roman"/>
          <w:sz w:val="24"/>
          <w:szCs w:val="24"/>
        </w:rPr>
        <w:t>учени</w:t>
      </w:r>
      <w:r>
        <w:rPr>
          <w:rFonts w:ascii="Times New Roman" w:hAnsi="Times New Roman" w:cs="Times New Roman"/>
          <w:sz w:val="24"/>
          <w:szCs w:val="24"/>
        </w:rPr>
        <w:t xml:space="preserve">, на които предстои пенсиониране в следващите 12 календарни месеца след началото на атестацията; </w:t>
      </w:r>
    </w:p>
    <w:p w:rsidR="0073612B" w:rsidRDefault="00AA5CF7">
      <w:pPr>
        <w:pStyle w:val="ListParagraph"/>
        <w:numPr>
          <w:ilvl w:val="0"/>
          <w:numId w:val="4"/>
        </w:numPr>
        <w:jc w:val="both"/>
        <w:rPr>
          <w:rFonts w:ascii="Times New Roman" w:hAnsi="Times New Roman" w:cs="Times New Roman"/>
          <w:sz w:val="24"/>
          <w:szCs w:val="24"/>
        </w:rPr>
      </w:pPr>
      <w:r>
        <w:rPr>
          <w:rFonts w:ascii="Times New Roman" w:hAnsi="Times New Roman"/>
          <w:sz w:val="24"/>
          <w:szCs w:val="24"/>
        </w:rPr>
        <w:t>учени в дълготраен отпуск с продължителност повече от половината от периода на атестация</w:t>
      </w:r>
      <w:r>
        <w:rPr>
          <w:rFonts w:ascii="Times New Roman" w:hAnsi="Times New Roman" w:cs="Times New Roman"/>
          <w:sz w:val="24"/>
          <w:szCs w:val="24"/>
        </w:rPr>
        <w:t xml:space="preserve">; </w:t>
      </w:r>
    </w:p>
    <w:p w:rsidR="0073612B" w:rsidRDefault="00AA5CF7">
      <w:pPr>
        <w:pStyle w:val="ListParagraph"/>
        <w:numPr>
          <w:ilvl w:val="0"/>
          <w:numId w:val="4"/>
        </w:numPr>
        <w:jc w:val="both"/>
        <w:rPr>
          <w:rFonts w:ascii="Times New Roman" w:hAnsi="Times New Roman"/>
          <w:sz w:val="24"/>
          <w:szCs w:val="24"/>
        </w:rPr>
      </w:pPr>
      <w:r>
        <w:rPr>
          <w:rFonts w:ascii="Times New Roman" w:hAnsi="Times New Roman" w:cs="Times New Roman"/>
          <w:sz w:val="24"/>
          <w:szCs w:val="24"/>
        </w:rPr>
        <w:t xml:space="preserve">действителни членове (академици) и дописни членове (член-кореспонденти) на БАН, </w:t>
      </w:r>
      <w:r>
        <w:rPr>
          <w:rFonts w:ascii="Times New Roman" w:hAnsi="Times New Roman"/>
          <w:sz w:val="24"/>
          <w:szCs w:val="24"/>
        </w:rPr>
        <w:t>които са в трудови правоотношения с ИБФБМИ</w:t>
      </w:r>
      <w:r>
        <w:rPr>
          <w:rFonts w:ascii="Times New Roman" w:hAnsi="Times New Roman" w:cs="Times New Roman"/>
          <w:sz w:val="24"/>
          <w:szCs w:val="24"/>
        </w:rPr>
        <w:t>.</w:t>
      </w:r>
    </w:p>
    <w:p w:rsidR="0073612B" w:rsidRDefault="00AA5CF7">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Всички срокове в Атестационната карта се изчисляват в месеци. За един месец от периода за атестиране се приема и период от съответния календарен месец, не по-къс от 14 дни. В случаите, когато периодът на отчитаната дейност не е пълна година, точките се отчитат като дроб със стойност </w:t>
      </w:r>
      <w:r>
        <w:rPr>
          <w:rFonts w:ascii="Times New Roman" w:hAnsi="Times New Roman" w:cs="Times New Roman"/>
          <w:b/>
          <w:i/>
          <w:sz w:val="24"/>
          <w:szCs w:val="24"/>
        </w:rPr>
        <w:t>х/12</w:t>
      </w:r>
      <w:r>
        <w:rPr>
          <w:rFonts w:ascii="Times New Roman" w:hAnsi="Times New Roman" w:cs="Times New Roman"/>
          <w:sz w:val="24"/>
          <w:szCs w:val="24"/>
        </w:rPr>
        <w:t xml:space="preserve">, където </w:t>
      </w:r>
      <w:r>
        <w:rPr>
          <w:rFonts w:ascii="Times New Roman" w:hAnsi="Times New Roman" w:cs="Times New Roman"/>
          <w:b/>
          <w:i/>
          <w:sz w:val="24"/>
          <w:szCs w:val="24"/>
        </w:rPr>
        <w:t>х</w:t>
      </w:r>
      <w:r>
        <w:rPr>
          <w:rFonts w:ascii="Times New Roman" w:hAnsi="Times New Roman" w:cs="Times New Roman"/>
          <w:sz w:val="24"/>
          <w:szCs w:val="24"/>
        </w:rPr>
        <w:t xml:space="preserve"> е броят признати месеци за годината, съгласно горното правило. </w:t>
      </w:r>
    </w:p>
    <w:p w:rsidR="0073612B" w:rsidRDefault="00AA5CF7">
      <w:pPr>
        <w:pStyle w:val="ListParagraph"/>
        <w:numPr>
          <w:ilvl w:val="0"/>
          <w:numId w:val="3"/>
        </w:numPr>
        <w:ind w:left="360"/>
        <w:jc w:val="both"/>
        <w:rPr>
          <w:rFonts w:ascii="Times New Roman" w:hAnsi="Times New Roman"/>
          <w:sz w:val="24"/>
          <w:szCs w:val="24"/>
        </w:rPr>
      </w:pPr>
      <w:r>
        <w:rPr>
          <w:rFonts w:ascii="Times New Roman" w:hAnsi="Times New Roman" w:cs="Times New Roman"/>
          <w:sz w:val="24"/>
          <w:szCs w:val="24"/>
        </w:rPr>
        <w:lastRenderedPageBreak/>
        <w:t xml:space="preserve">При атестирането на учени, които са постъпили през периода, определен за атестиране, или не са извършвали дейност по уважителни причини (повече от три месеца), се взема предвид реалното време на тяхната дейност, като се използва коригиращ коефициент. Коефициентът се изчислява съгласно формулата </w:t>
      </w:r>
      <w:r>
        <w:rPr>
          <w:rFonts w:ascii="Times New Roman" w:hAnsi="Times New Roman" w:cs="Times New Roman"/>
          <w:b/>
          <w:i/>
          <w:sz w:val="24"/>
          <w:szCs w:val="24"/>
        </w:rPr>
        <w:t>к = n</w:t>
      </w:r>
      <w:r>
        <w:rPr>
          <w:rFonts w:ascii="Times New Roman" w:hAnsi="Times New Roman" w:cs="Times New Roman"/>
          <w:sz w:val="24"/>
          <w:szCs w:val="24"/>
        </w:rPr>
        <w:t>/(</w:t>
      </w:r>
      <w:r>
        <w:rPr>
          <w:rFonts w:ascii="Times New Roman" w:hAnsi="Times New Roman" w:cs="Times New Roman"/>
          <w:b/>
          <w:i/>
          <w:sz w:val="24"/>
          <w:szCs w:val="24"/>
        </w:rPr>
        <w:t>n - x</w:t>
      </w:r>
      <w:r>
        <w:rPr>
          <w:rFonts w:ascii="Times New Roman" w:hAnsi="Times New Roman" w:cs="Times New Roman"/>
          <w:sz w:val="24"/>
          <w:szCs w:val="24"/>
        </w:rPr>
        <w:t xml:space="preserve">), където </w:t>
      </w:r>
      <w:r>
        <w:rPr>
          <w:rFonts w:ascii="Times New Roman" w:hAnsi="Times New Roman" w:cs="Times New Roman"/>
          <w:b/>
          <w:i/>
          <w:sz w:val="24"/>
          <w:szCs w:val="24"/>
        </w:rPr>
        <w:t>n</w:t>
      </w:r>
      <w:r>
        <w:rPr>
          <w:rFonts w:ascii="Times New Roman" w:hAnsi="Times New Roman" w:cs="Times New Roman"/>
          <w:sz w:val="24"/>
          <w:szCs w:val="24"/>
        </w:rPr>
        <w:t xml:space="preserve"> е общият брой календарни месеци през атестационния период, а </w:t>
      </w:r>
      <w:r>
        <w:rPr>
          <w:rFonts w:ascii="Times New Roman" w:hAnsi="Times New Roman" w:cs="Times New Roman"/>
          <w:b/>
          <w:i/>
          <w:sz w:val="24"/>
          <w:szCs w:val="24"/>
        </w:rPr>
        <w:t>x</w:t>
      </w:r>
      <w:r>
        <w:rPr>
          <w:rFonts w:ascii="Times New Roman" w:hAnsi="Times New Roman" w:cs="Times New Roman"/>
          <w:sz w:val="24"/>
          <w:szCs w:val="24"/>
        </w:rPr>
        <w:t xml:space="preserve"> е броят месеци на отсъствието. Стойността на променливата </w:t>
      </w:r>
      <w:r>
        <w:rPr>
          <w:rFonts w:ascii="Times New Roman" w:hAnsi="Times New Roman" w:cs="Times New Roman"/>
          <w:b/>
          <w:i/>
          <w:sz w:val="24"/>
          <w:szCs w:val="24"/>
        </w:rPr>
        <w:t>х</w:t>
      </w:r>
      <w:r>
        <w:rPr>
          <w:rFonts w:ascii="Times New Roman" w:hAnsi="Times New Roman" w:cs="Times New Roman"/>
          <w:sz w:val="24"/>
          <w:szCs w:val="24"/>
        </w:rPr>
        <w:t xml:space="preserve"> в горната формула се определя от Атестационната комисия на базата на подадено от атестирания заявление, съдържащо доказателства за продължителността на прекъсването на научната дейност и причините за това. Атестираният може да не подава такова заявление. В случай, че такова заявление бъде подадено, служителят не следва да отчита резултати от дейности, извършени през прекъсването. Атестационната комисия преценява верността на заявлението и определя коефициента за корекция.</w:t>
      </w:r>
    </w:p>
    <w:p w:rsidR="0073612B" w:rsidRDefault="00AA5CF7">
      <w:pPr>
        <w:pStyle w:val="ListParagraph"/>
        <w:numPr>
          <w:ilvl w:val="0"/>
          <w:numId w:val="3"/>
        </w:numPr>
        <w:ind w:left="360"/>
        <w:jc w:val="both"/>
        <w:rPr>
          <w:rFonts w:ascii="Times New Roman" w:hAnsi="Times New Roman" w:cs="Times New Roman"/>
          <w:sz w:val="24"/>
          <w:szCs w:val="24"/>
        </w:rPr>
      </w:pPr>
      <w:r>
        <w:t xml:space="preserve"> </w:t>
      </w:r>
      <w:r>
        <w:rPr>
          <w:rFonts w:ascii="Times New Roman" w:hAnsi="Times New Roman" w:cs="Times New Roman"/>
          <w:sz w:val="24"/>
          <w:szCs w:val="24"/>
        </w:rPr>
        <w:t>Не се разглеждат като уважителни причини за прекъсване на дейността платен годишен отпуск, творчески отпуск, трудов договор на непълен работен ден и други подобни причини, предполагащи продължаваща творческа дейност.</w:t>
      </w:r>
    </w:p>
    <w:p w:rsidR="0073612B" w:rsidRDefault="00AA5CF7">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Резултатите от атестацията се представят като общ списък на всички атестирани, както и по категории учени, като атестираните учени се разделят в следните категории:</w:t>
      </w:r>
    </w:p>
    <w:p w:rsidR="0073612B" w:rsidRDefault="00AA5CF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професори;</w:t>
      </w:r>
    </w:p>
    <w:p w:rsidR="0073612B" w:rsidRDefault="00AA5CF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доценти;</w:t>
      </w:r>
    </w:p>
    <w:p w:rsidR="0073612B" w:rsidRDefault="00AA5CF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главни асистенти;</w:t>
      </w:r>
    </w:p>
    <w:p w:rsidR="0073612B" w:rsidRDefault="00AA5CF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асистенти;</w:t>
      </w:r>
    </w:p>
    <w:p w:rsidR="0073612B" w:rsidRDefault="00AA5CF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специалисти-изследователи (с ОНС „Доктор“ или такива, които отчитат научно-изследователска дейност).</w:t>
      </w:r>
    </w:p>
    <w:p w:rsidR="0073612B" w:rsidRDefault="0073612B">
      <w:pPr>
        <w:spacing w:after="0"/>
        <w:jc w:val="both"/>
        <w:rPr>
          <w:rFonts w:ascii="Times New Roman" w:hAnsi="Times New Roman" w:cs="Times New Roman"/>
          <w:sz w:val="24"/>
          <w:szCs w:val="24"/>
        </w:rPr>
      </w:pPr>
    </w:p>
    <w:p w:rsidR="0073612B" w:rsidRDefault="00AA5CF7">
      <w:pPr>
        <w:spacing w:after="0"/>
        <w:jc w:val="center"/>
        <w:rPr>
          <w:rFonts w:ascii="Times New Roman" w:hAnsi="Times New Roman" w:cs="Times New Roman"/>
          <w:b/>
          <w:sz w:val="24"/>
          <w:szCs w:val="24"/>
        </w:rPr>
      </w:pPr>
      <w:r>
        <w:rPr>
          <w:rFonts w:ascii="Times New Roman" w:hAnsi="Times New Roman" w:cs="Times New Roman"/>
          <w:b/>
          <w:sz w:val="24"/>
          <w:szCs w:val="24"/>
        </w:rPr>
        <w:t>II. Атестационна процедура</w:t>
      </w:r>
    </w:p>
    <w:p w:rsidR="0073612B" w:rsidRDefault="00AA5CF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sz w:val="24"/>
          <w:szCs w:val="24"/>
        </w:rPr>
        <w:t>А</w:t>
      </w:r>
      <w:r>
        <w:rPr>
          <w:rFonts w:ascii="Times New Roman" w:hAnsi="Times New Roman" w:cs="Times New Roman"/>
          <w:bCs/>
          <w:sz w:val="24"/>
          <w:szCs w:val="24"/>
        </w:rPr>
        <w:t xml:space="preserve">тестационната карта за академичния състав и специалистите-изследователи </w:t>
      </w:r>
      <w:r>
        <w:rPr>
          <w:rFonts w:ascii="Times New Roman" w:hAnsi="Times New Roman" w:cs="Times New Roman"/>
          <w:bCs/>
          <w:color w:val="000000"/>
          <w:sz w:val="24"/>
          <w:szCs w:val="24"/>
        </w:rPr>
        <w:t xml:space="preserve">се състои от: </w:t>
      </w:r>
      <w:r>
        <w:rPr>
          <w:rFonts w:ascii="Times New Roman" w:hAnsi="Times New Roman" w:cs="Times New Roman"/>
          <w:bCs/>
          <w:color w:val="000000"/>
          <w:sz w:val="24"/>
          <w:szCs w:val="24"/>
          <w:lang w:eastAsia="zh-TW"/>
        </w:rPr>
        <w:t>I.</w:t>
      </w:r>
      <w:r>
        <w:rPr>
          <w:rFonts w:ascii="Times New Roman" w:hAnsi="Times New Roman" w:cs="Times New Roman"/>
          <w:bCs/>
          <w:color w:val="000000"/>
          <w:sz w:val="24"/>
          <w:szCs w:val="24"/>
        </w:rPr>
        <w:t xml:space="preserve"> Базисни критерии в сила за всички звена в БАН, и II. Специфични критерии (приети от Научния съвет на ИБФБМИ на 02.04.2021 г.). С</w:t>
      </w:r>
      <w:r>
        <w:rPr>
          <w:rFonts w:ascii="Times New Roman" w:hAnsi="Times New Roman" w:cs="Times New Roman"/>
          <w:bCs/>
          <w:sz w:val="24"/>
          <w:szCs w:val="24"/>
        </w:rPr>
        <w:t xml:space="preserve">ъгласно решение на ОС на БАН, за всеки учен сборът на точките по специфични критерии не трябва да надхвърля 40% от сбора на точките по базисните критерии в Атестационната му карта. </w:t>
      </w:r>
    </w:p>
    <w:p w:rsidR="0073612B" w:rsidRDefault="00AA5CF7">
      <w:pPr>
        <w:pStyle w:val="ListParagraph"/>
        <w:numPr>
          <w:ilvl w:val="0"/>
          <w:numId w:val="6"/>
        </w:numPr>
        <w:jc w:val="both"/>
        <w:rPr>
          <w:rFonts w:ascii="Times New Roman" w:hAnsi="Times New Roman"/>
          <w:sz w:val="24"/>
          <w:szCs w:val="24"/>
        </w:rPr>
      </w:pPr>
      <w:r>
        <w:rPr>
          <w:rFonts w:ascii="Times New Roman" w:hAnsi="Times New Roman" w:cs="Times New Roman"/>
          <w:bCs/>
          <w:sz w:val="24"/>
          <w:szCs w:val="24"/>
        </w:rPr>
        <w:t xml:space="preserve">Отчитат се само публикации, в които са вписани пълното име на ИБФБМИ и БАН (Българска академия на науките/Bulgarian Academy of Sciences или еквивалентен текст на езика на публикацията). </w:t>
      </w:r>
    </w:p>
    <w:p w:rsidR="0073612B" w:rsidRDefault="00AA5CF7">
      <w:pPr>
        <w:pStyle w:val="ListParagraph"/>
        <w:numPr>
          <w:ilvl w:val="0"/>
          <w:numId w:val="6"/>
        </w:numPr>
        <w:jc w:val="both"/>
        <w:rPr>
          <w:rFonts w:ascii="Times New Roman" w:hAnsi="Times New Roman"/>
          <w:sz w:val="24"/>
          <w:szCs w:val="24"/>
        </w:rPr>
      </w:pPr>
      <w:r>
        <w:rPr>
          <w:rFonts w:ascii="Times New Roman" w:hAnsi="Times New Roman" w:cs="Times New Roman"/>
          <w:bCs/>
          <w:sz w:val="24"/>
          <w:szCs w:val="24"/>
        </w:rPr>
        <w:t xml:space="preserve">За научни трудове и </w:t>
      </w:r>
      <w:r>
        <w:rPr>
          <w:rFonts w:ascii="Times New Roman" w:hAnsi="Times New Roman" w:cs="Times New Roman"/>
          <w:sz w:val="24"/>
          <w:szCs w:val="24"/>
        </w:rPr>
        <w:t>цитирания на научни трудове</w:t>
      </w:r>
      <w:r>
        <w:rPr>
          <w:rFonts w:ascii="Times New Roman" w:hAnsi="Times New Roman" w:cs="Times New Roman"/>
          <w:bCs/>
          <w:sz w:val="24"/>
          <w:szCs w:val="24"/>
        </w:rPr>
        <w:t>, в които броят съавтори (</w:t>
      </w:r>
      <w:r>
        <w:rPr>
          <w:rFonts w:ascii="Times New Roman" w:hAnsi="Times New Roman" w:cs="Times New Roman"/>
          <w:b/>
          <w:bCs/>
          <w:i/>
          <w:sz w:val="24"/>
          <w:szCs w:val="24"/>
        </w:rPr>
        <w:t>А</w:t>
      </w:r>
      <w:r>
        <w:rPr>
          <w:rFonts w:ascii="Times New Roman" w:hAnsi="Times New Roman" w:cs="Times New Roman"/>
          <w:bCs/>
          <w:sz w:val="24"/>
          <w:szCs w:val="24"/>
        </w:rPr>
        <w:t>) от ИБФБМИ е по-малък от 5% от общия брой съавтори (</w:t>
      </w:r>
      <w:r>
        <w:rPr>
          <w:rFonts w:ascii="Times New Roman" w:hAnsi="Times New Roman" w:cs="Times New Roman"/>
          <w:b/>
          <w:bCs/>
          <w:i/>
          <w:sz w:val="24"/>
          <w:szCs w:val="24"/>
        </w:rPr>
        <w:t>N</w:t>
      </w:r>
      <w:r>
        <w:rPr>
          <w:rFonts w:ascii="Times New Roman" w:hAnsi="Times New Roman" w:cs="Times New Roman"/>
          <w:bCs/>
          <w:sz w:val="24"/>
          <w:szCs w:val="24"/>
        </w:rPr>
        <w:t>), окончателният брой точки (</w:t>
      </w:r>
      <w:r>
        <w:rPr>
          <w:rFonts w:ascii="Times New Roman" w:hAnsi="Times New Roman" w:cs="Times New Roman"/>
          <w:b/>
          <w:bCs/>
          <w:i/>
          <w:sz w:val="24"/>
          <w:szCs w:val="24"/>
        </w:rPr>
        <w:t>X</w:t>
      </w:r>
      <w:r>
        <w:rPr>
          <w:rFonts w:ascii="Times New Roman" w:hAnsi="Times New Roman" w:cs="Times New Roman"/>
          <w:bCs/>
          <w:sz w:val="24"/>
          <w:szCs w:val="24"/>
        </w:rPr>
        <w:t xml:space="preserve">) се изчислява по формулата </w:t>
      </w:r>
      <w:r>
        <w:rPr>
          <w:rFonts w:ascii="Times New Roman" w:hAnsi="Times New Roman" w:cs="Times New Roman"/>
          <w:bCs/>
          <w:sz w:val="24"/>
          <w:szCs w:val="24"/>
        </w:rPr>
        <w:br/>
      </w:r>
      <w:r>
        <w:rPr>
          <w:rFonts w:ascii="Times New Roman" w:hAnsi="Times New Roman" w:cs="Times New Roman"/>
          <w:b/>
          <w:bCs/>
          <w:i/>
          <w:sz w:val="24"/>
          <w:szCs w:val="24"/>
        </w:rPr>
        <w:t xml:space="preserve">Х = AY / </w:t>
      </w:r>
      <w:r>
        <w:rPr>
          <w:rFonts w:ascii="Times New Roman" w:hAnsi="Times New Roman" w:cs="Times New Roman"/>
          <w:bCs/>
          <w:sz w:val="24"/>
          <w:szCs w:val="24"/>
        </w:rPr>
        <w:t>(</w:t>
      </w:r>
      <w:r>
        <w:rPr>
          <w:rFonts w:ascii="Times New Roman" w:hAnsi="Times New Roman" w:cs="Times New Roman"/>
          <w:b/>
          <w:bCs/>
          <w:i/>
          <w:sz w:val="24"/>
          <w:szCs w:val="24"/>
        </w:rPr>
        <w:t>N/20</w:t>
      </w:r>
      <w:r>
        <w:rPr>
          <w:rFonts w:ascii="Times New Roman" w:hAnsi="Times New Roman" w:cs="Times New Roman"/>
          <w:bCs/>
          <w:sz w:val="24"/>
          <w:szCs w:val="24"/>
        </w:rPr>
        <w:t xml:space="preserve">), където </w:t>
      </w:r>
      <w:r>
        <w:rPr>
          <w:rFonts w:ascii="Times New Roman" w:hAnsi="Times New Roman" w:cs="Times New Roman"/>
          <w:b/>
          <w:bCs/>
          <w:i/>
          <w:sz w:val="24"/>
          <w:szCs w:val="24"/>
        </w:rPr>
        <w:t>Y</w:t>
      </w:r>
      <w:r>
        <w:rPr>
          <w:rFonts w:ascii="Times New Roman" w:hAnsi="Times New Roman" w:cs="Times New Roman"/>
          <w:bCs/>
          <w:sz w:val="24"/>
          <w:szCs w:val="24"/>
        </w:rPr>
        <w:t xml:space="preserve"> е броят точки за съответната публикация без корекция. </w:t>
      </w:r>
    </w:p>
    <w:p w:rsidR="0073612B" w:rsidRDefault="00AA5CF7">
      <w:pPr>
        <w:spacing w:after="0"/>
        <w:ind w:firstLine="357"/>
        <w:jc w:val="both"/>
        <w:rPr>
          <w:rFonts w:ascii="Times New Roman" w:hAnsi="Times New Roman"/>
          <w:sz w:val="24"/>
          <w:szCs w:val="24"/>
        </w:rPr>
      </w:pPr>
      <w:r>
        <w:rPr>
          <w:rFonts w:ascii="Times New Roman" w:hAnsi="Times New Roman"/>
          <w:bCs/>
          <w:sz w:val="24"/>
          <w:szCs w:val="24"/>
        </w:rPr>
        <w:t xml:space="preserve">Корекция за брой автори не се прилага в случаите, когато: </w:t>
      </w:r>
    </w:p>
    <w:p w:rsidR="0073612B" w:rsidRDefault="00AA5CF7">
      <w:pPr>
        <w:pStyle w:val="ListParagraph"/>
        <w:numPr>
          <w:ilvl w:val="0"/>
          <w:numId w:val="2"/>
        </w:numPr>
        <w:suppressAutoHyphens w:val="0"/>
        <w:jc w:val="both"/>
        <w:rPr>
          <w:rFonts w:ascii="Times New Roman" w:hAnsi="Times New Roman"/>
          <w:sz w:val="24"/>
          <w:szCs w:val="24"/>
        </w:rPr>
      </w:pPr>
      <w:r>
        <w:rPr>
          <w:rFonts w:ascii="Times New Roman" w:hAnsi="Times New Roman"/>
          <w:bCs/>
          <w:sz w:val="24"/>
          <w:szCs w:val="24"/>
        </w:rPr>
        <w:t xml:space="preserve">Кореспондиращият автор е от ИБФБМИ </w:t>
      </w:r>
    </w:p>
    <w:p w:rsidR="0073612B" w:rsidRDefault="00AA5CF7">
      <w:pPr>
        <w:pStyle w:val="ListParagraph"/>
        <w:numPr>
          <w:ilvl w:val="0"/>
          <w:numId w:val="2"/>
        </w:numPr>
        <w:suppressAutoHyphens w:val="0"/>
        <w:jc w:val="both"/>
        <w:rPr>
          <w:rFonts w:ascii="Times New Roman" w:hAnsi="Times New Roman"/>
          <w:sz w:val="24"/>
          <w:szCs w:val="24"/>
        </w:rPr>
      </w:pPr>
      <w:r>
        <w:rPr>
          <w:rFonts w:ascii="Times New Roman" w:hAnsi="Times New Roman" w:cs="Times New Roman"/>
          <w:bCs/>
          <w:sz w:val="24"/>
          <w:szCs w:val="24"/>
        </w:rPr>
        <w:t xml:space="preserve">Статията е класирана в 1% на най-цитираните статии според </w:t>
      </w:r>
      <w:r>
        <w:rPr>
          <w:rFonts w:ascii="Times New Roman" w:hAnsi="Times New Roman" w:cs="Times New Roman"/>
          <w:bCs/>
          <w:i/>
          <w:iCs/>
          <w:sz w:val="24"/>
          <w:szCs w:val="24"/>
        </w:rPr>
        <w:t>Essential Science Indicators</w:t>
      </w:r>
      <w:r>
        <w:rPr>
          <w:rFonts w:ascii="Times New Roman" w:hAnsi="Times New Roman" w:cs="Times New Roman"/>
          <w:bCs/>
          <w:sz w:val="24"/>
          <w:szCs w:val="24"/>
        </w:rPr>
        <w:t xml:space="preserve"> – Web of Science</w:t>
      </w:r>
    </w:p>
    <w:p w:rsidR="0073612B" w:rsidRDefault="00AA5CF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sz w:val="24"/>
          <w:szCs w:val="24"/>
        </w:rPr>
        <w:t xml:space="preserve">За учени, които са на основна работа в ИБФБМИ, се отчитат и цитирания на публикации с принадлежност на учения към предходно работно място в БАН. </w:t>
      </w:r>
    </w:p>
    <w:p w:rsidR="0073612B" w:rsidRDefault="00AA5CF7">
      <w:pPr>
        <w:pStyle w:val="ListParagraph"/>
        <w:numPr>
          <w:ilvl w:val="0"/>
          <w:numId w:val="6"/>
        </w:numPr>
        <w:jc w:val="both"/>
        <w:rPr>
          <w:rFonts w:ascii="Times New Roman" w:hAnsi="Times New Roman" w:cs="Times New Roman"/>
          <w:bCs/>
          <w:sz w:val="24"/>
          <w:szCs w:val="24"/>
        </w:rPr>
      </w:pPr>
      <w:r>
        <w:rPr>
          <w:rFonts w:ascii="Times New Roman" w:hAnsi="Times New Roman"/>
          <w:sz w:val="24"/>
          <w:szCs w:val="24"/>
        </w:rPr>
        <w:t xml:space="preserve">Атестационната карта се попълва и подава в електронен вид – </w:t>
      </w:r>
      <w:r>
        <w:rPr>
          <w:rFonts w:ascii="Times New Roman" w:hAnsi="Times New Roman" w:cs="Times New Roman"/>
          <w:sz w:val="24"/>
          <w:szCs w:val="24"/>
        </w:rPr>
        <w:t>в Excel формат, предоставен от Атестационната комисия на ИБФБМИ. Атестационната карта се предава също и на хартиен носител, подписана от атестиращия се, в Деловодството на ИБФБМИ.</w:t>
      </w:r>
    </w:p>
    <w:p w:rsidR="0073612B" w:rsidRDefault="00AA5CF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sz w:val="24"/>
          <w:szCs w:val="24"/>
        </w:rPr>
        <w:lastRenderedPageBreak/>
        <w:t>За всяка активност от Атестационната карта се прилага в отделен файл доказателствен материал, както следва:</w:t>
      </w:r>
    </w:p>
    <w:p w:rsidR="0073612B" w:rsidRDefault="00AA5CF7">
      <w:pPr>
        <w:pStyle w:val="ListParagraph"/>
        <w:numPr>
          <w:ilvl w:val="0"/>
          <w:numId w:val="8"/>
        </w:numPr>
        <w:jc w:val="both"/>
        <w:rPr>
          <w:rFonts w:ascii="Times New Roman" w:hAnsi="Times New Roman"/>
          <w:sz w:val="24"/>
          <w:szCs w:val="24"/>
        </w:rPr>
      </w:pPr>
      <w:r>
        <w:rPr>
          <w:rFonts w:ascii="Times New Roman" w:hAnsi="Times New Roman" w:cs="Times New Roman"/>
          <w:sz w:val="24"/>
          <w:szCs w:val="24"/>
        </w:rPr>
        <w:t>ако съответната дейност е отчетена в SONIX, доказателственият материал се екстрахира оттам;</w:t>
      </w:r>
    </w:p>
    <w:p w:rsidR="0073612B" w:rsidRDefault="00AA5CF7">
      <w:pPr>
        <w:pStyle w:val="ListParagraph"/>
        <w:numPr>
          <w:ilvl w:val="0"/>
          <w:numId w:val="8"/>
        </w:numPr>
        <w:jc w:val="both"/>
        <w:rPr>
          <w:rFonts w:ascii="Times New Roman" w:hAnsi="Times New Roman"/>
          <w:sz w:val="24"/>
          <w:szCs w:val="24"/>
          <w:lang w:val="ru-RU"/>
        </w:rPr>
      </w:pPr>
      <w:r>
        <w:rPr>
          <w:rFonts w:ascii="Times New Roman" w:hAnsi="Times New Roman" w:cs="Times New Roman"/>
          <w:sz w:val="24"/>
          <w:szCs w:val="24"/>
        </w:rPr>
        <w:t xml:space="preserve">за останалите активности се представя доказателствен материал от достоверен източник (линк към официален сайт, сканирани документи, </w:t>
      </w:r>
      <w:r>
        <w:rPr>
          <w:rFonts w:ascii="Times New Roman" w:hAnsi="Times New Roman"/>
          <w:sz w:val="24"/>
          <w:szCs w:val="24"/>
        </w:rPr>
        <w:t>програма от научни конференции</w:t>
      </w:r>
      <w:r>
        <w:rPr>
          <w:rFonts w:ascii="Times New Roman" w:hAnsi="Times New Roman" w:cs="Times New Roman"/>
          <w:sz w:val="24"/>
          <w:szCs w:val="24"/>
        </w:rPr>
        <w:t xml:space="preserve"> и др.), откъдето е видна съответната активност: </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lang w:val="ru-RU"/>
        </w:rPr>
        <w:t xml:space="preserve">дялово участие във финансиране – </w:t>
      </w:r>
      <w:r>
        <w:rPr>
          <w:rFonts w:ascii="Times New Roman" w:hAnsi="Times New Roman"/>
          <w:sz w:val="24"/>
          <w:szCs w:val="24"/>
        </w:rPr>
        <w:t>документ/доклад от ръководителя на проекта, удостоверяващ дяловото участие на съответния член на колектива;</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rPr>
      </w:pPr>
      <w:r>
        <w:rPr>
          <w:rFonts w:ascii="Times New Roman" w:hAnsi="Times New Roman"/>
          <w:sz w:val="24"/>
          <w:szCs w:val="24"/>
        </w:rPr>
        <w:t>документ за защитена дисертация  или линк към обявата;</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rPr>
      </w:pPr>
      <w:r>
        <w:rPr>
          <w:rFonts w:ascii="Times New Roman" w:hAnsi="Times New Roman"/>
          <w:sz w:val="24"/>
          <w:szCs w:val="24"/>
        </w:rPr>
        <w:t>документ за патент или приета заявка за патент;</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копие от първа и съответната страница на сборник или линк, удостоверяващ уча</w:t>
      </w:r>
      <w:r>
        <w:rPr>
          <w:rFonts w:ascii="Times New Roman" w:hAnsi="Times New Roman"/>
          <w:sz w:val="24"/>
          <w:szCs w:val="24"/>
        </w:rPr>
        <w:t>с</w:t>
      </w:r>
      <w:r>
        <w:rPr>
          <w:rFonts w:ascii="Times New Roman" w:hAnsi="Times New Roman"/>
          <w:sz w:val="24"/>
          <w:szCs w:val="24"/>
        </w:rPr>
        <w:t>тниците в създаването му;</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удостоверяване на ръководство на защитили докторанти – копие от началната страница на автореферата или линк към обявата за защита;</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линк към сайта на ИБФБМИ, където е видно ръководството на незащитили докт</w:t>
      </w:r>
      <w:r>
        <w:rPr>
          <w:rFonts w:ascii="Times New Roman" w:hAnsi="Times New Roman"/>
          <w:sz w:val="24"/>
          <w:szCs w:val="24"/>
        </w:rPr>
        <w:t>о</w:t>
      </w:r>
      <w:r>
        <w:rPr>
          <w:rFonts w:ascii="Times New Roman" w:hAnsi="Times New Roman"/>
          <w:sz w:val="24"/>
          <w:szCs w:val="24"/>
        </w:rPr>
        <w:t xml:space="preserve">ранти </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за ръководство на дипломанти – копие на първа страница на дипломната работа;</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документ/линк за участие в органите на управление от съответната организация;</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документ/линк за участие в организацията на научни форуми;</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документ/линк за участие в редакционни колегии;</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sz w:val="24"/>
          <w:szCs w:val="24"/>
        </w:rPr>
        <w:t>за награди – копие от документ за получената награда;</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cs="Times New Roman"/>
          <w:sz w:val="24"/>
          <w:szCs w:val="24"/>
          <w:lang w:val="ru-RU"/>
        </w:rPr>
      </w:pPr>
      <w:r>
        <w:rPr>
          <w:rFonts w:ascii="Times New Roman" w:hAnsi="Times New Roman"/>
          <w:sz w:val="24"/>
          <w:szCs w:val="24"/>
        </w:rPr>
        <w:t>за участие в експертни комисии извън ИБФБМИ –  заповед/ удостоверение за уч</w:t>
      </w:r>
      <w:r>
        <w:rPr>
          <w:rFonts w:ascii="Times New Roman" w:hAnsi="Times New Roman"/>
          <w:sz w:val="24"/>
          <w:szCs w:val="24"/>
        </w:rPr>
        <w:t>а</w:t>
      </w:r>
      <w:r>
        <w:rPr>
          <w:rFonts w:ascii="Times New Roman" w:hAnsi="Times New Roman"/>
          <w:sz w:val="24"/>
          <w:szCs w:val="24"/>
        </w:rPr>
        <w:t xml:space="preserve">стие в </w:t>
      </w:r>
      <w:r>
        <w:rPr>
          <w:rFonts w:ascii="Times New Roman" w:hAnsi="Times New Roman" w:cs="Times New Roman"/>
          <w:sz w:val="24"/>
          <w:szCs w:val="24"/>
        </w:rPr>
        <w:t>такива</w:t>
      </w:r>
      <w:r>
        <w:rPr>
          <w:rFonts w:ascii="Times New Roman" w:hAnsi="Times New Roman"/>
          <w:sz w:val="24"/>
          <w:szCs w:val="24"/>
        </w:rPr>
        <w:t>;</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cs="Times New Roman"/>
          <w:sz w:val="24"/>
          <w:szCs w:val="24"/>
          <w:lang w:val="ru-RU"/>
        </w:rPr>
      </w:pPr>
      <w:r>
        <w:rPr>
          <w:rFonts w:ascii="Times New Roman" w:hAnsi="Times New Roman" w:cs="Times New Roman"/>
          <w:sz w:val="24"/>
          <w:szCs w:val="24"/>
        </w:rPr>
        <w:t xml:space="preserve"> за </w:t>
      </w:r>
      <w:r>
        <w:rPr>
          <w:rFonts w:ascii="Times New Roman" w:hAnsi="Times New Roman" w:cs="Times New Roman"/>
          <w:color w:val="000000"/>
          <w:sz w:val="24"/>
          <w:szCs w:val="24"/>
        </w:rPr>
        <w:t xml:space="preserve">участие в комисия или друга структура с експертни функции в ИБФБМИ-БАН (Атестационна комисия, Апелативна комисия, </w:t>
      </w:r>
      <w:r w:rsidR="001869D1">
        <w:rPr>
          <w:rFonts w:ascii="Times New Roman" w:hAnsi="Times New Roman" w:cs="Times New Roman"/>
          <w:color w:val="000000"/>
          <w:sz w:val="24"/>
          <w:szCs w:val="24"/>
        </w:rPr>
        <w:t xml:space="preserve">ККОД </w:t>
      </w:r>
      <w:r>
        <w:rPr>
          <w:rFonts w:ascii="Times New Roman" w:hAnsi="Times New Roman" w:cs="Times New Roman"/>
          <w:color w:val="000000"/>
          <w:sz w:val="24"/>
          <w:szCs w:val="24"/>
        </w:rPr>
        <w:t>и др.) – дейността се доказва с Доклад от Председателя на съответната комисия;</w:t>
      </w:r>
    </w:p>
    <w:p w:rsidR="0073612B" w:rsidRDefault="00AA5CF7">
      <w:pPr>
        <w:pStyle w:val="ListParagraph"/>
        <w:numPr>
          <w:ilvl w:val="0"/>
          <w:numId w:val="7"/>
        </w:numPr>
        <w:suppressAutoHyphens w:val="0"/>
        <w:spacing w:line="240" w:lineRule="auto"/>
        <w:ind w:left="1080"/>
        <w:contextualSpacing w:val="0"/>
        <w:jc w:val="both"/>
        <w:rPr>
          <w:rFonts w:ascii="Times New Roman" w:hAnsi="Times New Roman"/>
          <w:sz w:val="24"/>
          <w:szCs w:val="24"/>
          <w:lang w:val="ru-RU"/>
        </w:rPr>
      </w:pPr>
      <w:r>
        <w:rPr>
          <w:rFonts w:ascii="Times New Roman" w:hAnsi="Times New Roman" w:cs="Times New Roman"/>
          <w:sz w:val="24"/>
          <w:szCs w:val="24"/>
        </w:rPr>
        <w:t>документ/е-мейл от съответната</w:t>
      </w:r>
      <w:r>
        <w:rPr>
          <w:rFonts w:ascii="Times New Roman" w:hAnsi="Times New Roman"/>
          <w:sz w:val="24"/>
          <w:szCs w:val="24"/>
        </w:rPr>
        <w:t xml:space="preserve"> организация или редколегия за представени р</w:t>
      </w:r>
      <w:r>
        <w:rPr>
          <w:rFonts w:ascii="Times New Roman" w:hAnsi="Times New Roman"/>
          <w:sz w:val="24"/>
          <w:szCs w:val="24"/>
        </w:rPr>
        <w:t>е</w:t>
      </w:r>
      <w:r>
        <w:rPr>
          <w:rFonts w:ascii="Times New Roman" w:hAnsi="Times New Roman"/>
          <w:sz w:val="24"/>
          <w:szCs w:val="24"/>
        </w:rPr>
        <w:t>цензии.</w:t>
      </w:r>
    </w:p>
    <w:p w:rsidR="0073612B" w:rsidRDefault="00AA5CF7">
      <w:pPr>
        <w:pStyle w:val="ListParagraph"/>
        <w:numPr>
          <w:ilvl w:val="0"/>
          <w:numId w:val="7"/>
        </w:numPr>
        <w:ind w:left="1080"/>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lang w:val="ru-RU"/>
        </w:rPr>
        <w:t>руги приноси към научно-изследователската, научно-приложна, организационна и учебна дейности на ИБФБМИ и БАН</w:t>
      </w:r>
      <w:r>
        <w:rPr>
          <w:rFonts w:ascii="Times New Roman" w:hAnsi="Times New Roman"/>
          <w:sz w:val="24"/>
          <w:szCs w:val="24"/>
        </w:rPr>
        <w:t>, които атестираният сметне за допустимо.</w:t>
      </w:r>
    </w:p>
    <w:p w:rsidR="0073612B" w:rsidRDefault="00AA5CF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sz w:val="24"/>
          <w:szCs w:val="24"/>
        </w:rPr>
        <w:t>Атестационната карта и доказателственият материал се предават в срок, указан в Заповедта за атестация на Директора на ИБФБМИ.</w:t>
      </w:r>
    </w:p>
    <w:p w:rsidR="0073612B" w:rsidRDefault="00AA5CF7">
      <w:pPr>
        <w:pStyle w:val="ListParagraph"/>
        <w:numPr>
          <w:ilvl w:val="0"/>
          <w:numId w:val="6"/>
        </w:numPr>
        <w:jc w:val="both"/>
        <w:rPr>
          <w:rFonts w:ascii="Times New Roman" w:hAnsi="Times New Roman"/>
          <w:sz w:val="24"/>
          <w:szCs w:val="24"/>
        </w:rPr>
      </w:pPr>
      <w:r>
        <w:rPr>
          <w:rFonts w:ascii="Times New Roman" w:hAnsi="Times New Roman" w:cs="Times New Roman"/>
          <w:sz w:val="24"/>
          <w:szCs w:val="24"/>
        </w:rPr>
        <w:t>В електронен вид, Атестационната карта и доказателственият материал се изпращат като прикачени файлове (може и в компресиран файл) от е-мейл адреса на атестирания до е-мейл адреса на Атестационната комисия на ИБФБМИ (</w:t>
      </w:r>
      <w:hyperlink r:id="rId9">
        <w:r>
          <w:rPr>
            <w:rStyle w:val="Hyperlink"/>
            <w:rFonts w:ascii="Times New Roman" w:hAnsi="Times New Roman" w:cs="Times New Roman"/>
            <w:sz w:val="24"/>
            <w:szCs w:val="24"/>
          </w:rPr>
          <w:t>atestacia@biomed.bas.bg</w:t>
        </w:r>
      </w:hyperlink>
      <w:r>
        <w:rPr>
          <w:rFonts w:ascii="Times New Roman" w:hAnsi="Times New Roman" w:cs="Times New Roman"/>
          <w:sz w:val="24"/>
          <w:szCs w:val="24"/>
        </w:rPr>
        <w:t>). В електронното писмо е необходимо да се специфицират трите имена, научното структурно звено и длъжността на атестирания служител.</w:t>
      </w:r>
    </w:p>
    <w:p w:rsidR="0073612B" w:rsidRDefault="0073612B">
      <w:pPr>
        <w:spacing w:after="0"/>
        <w:rPr>
          <w:rFonts w:ascii="Times New Roman" w:hAnsi="Times New Roman" w:cs="Times New Roman"/>
          <w:sz w:val="24"/>
          <w:szCs w:val="24"/>
        </w:rPr>
      </w:pPr>
    </w:p>
    <w:p w:rsidR="0073612B" w:rsidRDefault="00AA5CF7">
      <w:pPr>
        <w:spacing w:after="0"/>
        <w:jc w:val="center"/>
        <w:rPr>
          <w:rFonts w:ascii="Times New Roman" w:hAnsi="Times New Roman" w:cs="Times New Roman"/>
          <w:b/>
          <w:sz w:val="24"/>
          <w:szCs w:val="24"/>
        </w:rPr>
      </w:pPr>
      <w:r>
        <w:rPr>
          <w:rFonts w:ascii="Times New Roman" w:hAnsi="Times New Roman" w:cs="Times New Roman"/>
          <w:b/>
          <w:sz w:val="24"/>
          <w:szCs w:val="24"/>
        </w:rPr>
        <w:t>III. Заключителни разпоредби</w:t>
      </w:r>
    </w:p>
    <w:p w:rsidR="0073612B" w:rsidRDefault="0073612B">
      <w:pPr>
        <w:spacing w:after="0"/>
        <w:jc w:val="both"/>
        <w:rPr>
          <w:rFonts w:ascii="Times New Roman" w:hAnsi="Times New Roman" w:cs="Times New Roman"/>
          <w:sz w:val="24"/>
          <w:szCs w:val="24"/>
        </w:rPr>
      </w:pPr>
    </w:p>
    <w:p w:rsidR="0073612B" w:rsidRDefault="00AA5CF7">
      <w:p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Настоящите „Методически указания и Атестационна карта за извършване на периодична атестация на академичния състав и специалистите-изследователи в ИБФБМИ“ са приети от Научния съвет на ИБФБМИ на </w:t>
      </w:r>
      <w:bookmarkStart w:id="0" w:name="_GoBack"/>
      <w:bookmarkEnd w:id="0"/>
      <w:r w:rsidR="001869D1" w:rsidRPr="00FD2675">
        <w:rPr>
          <w:rFonts w:ascii="Times New Roman" w:hAnsi="Times New Roman" w:cs="Times New Roman"/>
          <w:sz w:val="24"/>
          <w:szCs w:val="24"/>
        </w:rPr>
        <w:t>22.04.</w:t>
      </w:r>
      <w:r w:rsidRPr="00FD2675">
        <w:rPr>
          <w:rFonts w:ascii="Times New Roman" w:hAnsi="Times New Roman" w:cs="Times New Roman"/>
          <w:sz w:val="24"/>
          <w:szCs w:val="24"/>
        </w:rPr>
        <w:t>2024 г.</w:t>
      </w:r>
      <w:r w:rsidRPr="00FD2675">
        <w:rPr>
          <w:rFonts w:ascii="Times New Roman" w:hAnsi="Times New Roman" w:cs="Times New Roman"/>
          <w:sz w:val="24"/>
          <w:szCs w:val="24"/>
          <w:shd w:val="clear" w:color="auto" w:fill="FFFF00"/>
        </w:rPr>
        <w:t xml:space="preserve"> </w:t>
      </w:r>
    </w:p>
    <w:p w:rsidR="0073612B" w:rsidRDefault="0073612B">
      <w:pPr>
        <w:spacing w:after="0"/>
        <w:rPr>
          <w:rFonts w:ascii="Times New Roman" w:hAnsi="Times New Roman" w:cs="Times New Roman"/>
          <w:sz w:val="24"/>
          <w:szCs w:val="24"/>
        </w:rPr>
      </w:pPr>
    </w:p>
    <w:p w:rsidR="0073612B" w:rsidRDefault="0073612B">
      <w:pPr>
        <w:spacing w:after="0"/>
        <w:rPr>
          <w:b/>
        </w:rPr>
      </w:pPr>
    </w:p>
    <w:sectPr w:rsidR="0073612B" w:rsidSect="0073612B">
      <w:footerReference w:type="default" r:id="rId10"/>
      <w:pgSz w:w="11906" w:h="16838"/>
      <w:pgMar w:top="1134" w:right="1134" w:bottom="270" w:left="1134" w:header="0" w:footer="0" w:gutter="0"/>
      <w:cols w:space="708"/>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E3" w:rsidRDefault="00786AE3" w:rsidP="0073612B">
      <w:pPr>
        <w:spacing w:after="0" w:line="240" w:lineRule="auto"/>
      </w:pPr>
      <w:r>
        <w:separator/>
      </w:r>
    </w:p>
  </w:endnote>
  <w:endnote w:type="continuationSeparator" w:id="0">
    <w:p w:rsidR="00786AE3" w:rsidRDefault="00786AE3" w:rsidP="0073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ohit Hindi;MS Mincho">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B" w:rsidRDefault="007361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E3" w:rsidRDefault="00786AE3" w:rsidP="0073612B">
      <w:pPr>
        <w:spacing w:after="0" w:line="240" w:lineRule="auto"/>
      </w:pPr>
      <w:r>
        <w:separator/>
      </w:r>
    </w:p>
  </w:footnote>
  <w:footnote w:type="continuationSeparator" w:id="0">
    <w:p w:rsidR="00786AE3" w:rsidRDefault="00786AE3" w:rsidP="00736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8C7"/>
    <w:multiLevelType w:val="multilevel"/>
    <w:tmpl w:val="69B4A7E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CEB0B7D"/>
    <w:multiLevelType w:val="multilevel"/>
    <w:tmpl w:val="B380DC0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D07250F"/>
    <w:multiLevelType w:val="multilevel"/>
    <w:tmpl w:val="D8885A1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3ED35EB"/>
    <w:multiLevelType w:val="multilevel"/>
    <w:tmpl w:val="813433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415637C6"/>
    <w:multiLevelType w:val="multilevel"/>
    <w:tmpl w:val="B41C25C0"/>
    <w:lvl w:ilvl="0">
      <w:start w:val="1"/>
      <w:numFmt w:val="bullet"/>
      <w:pStyle w:val="Heading1"/>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3723930"/>
    <w:multiLevelType w:val="multilevel"/>
    <w:tmpl w:val="693CA51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6D46A37"/>
    <w:multiLevelType w:val="multilevel"/>
    <w:tmpl w:val="396C41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0C5103"/>
    <w:multiLevelType w:val="multilevel"/>
    <w:tmpl w:val="4634C424"/>
    <w:lvl w:ilvl="0">
      <w:start w:val="1"/>
      <w:numFmt w:val="bullet"/>
      <w:lvlText w:val=""/>
      <w:lvlJc w:val="left"/>
      <w:pPr>
        <w:tabs>
          <w:tab w:val="num" w:pos="0"/>
        </w:tabs>
        <w:ind w:left="717" w:hanging="360"/>
      </w:pPr>
      <w:rPr>
        <w:rFonts w:ascii="Wingdings" w:hAnsi="Wingdings" w:cs="Wingdings"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doNotExpandShiftReturn/>
  </w:compat>
  <w:rsids>
    <w:rsidRoot w:val="0073612B"/>
    <w:rsid w:val="00126705"/>
    <w:rsid w:val="001869D1"/>
    <w:rsid w:val="002230F8"/>
    <w:rsid w:val="003114C6"/>
    <w:rsid w:val="004011D5"/>
    <w:rsid w:val="0073612B"/>
    <w:rsid w:val="00786AE3"/>
    <w:rsid w:val="00A32632"/>
    <w:rsid w:val="00AA5CF7"/>
    <w:rsid w:val="00FD2675"/>
  </w:rsids>
  <m:mathPr>
    <m:mathFont m:val="Cambria Math"/>
    <m:brkBin m:val="before"/>
    <m:brkBinSub m:val="--"/>
    <m:smallFrac m:val="off"/>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Mangal"/>
        <w:lang w:val="bg-BG" w:eastAsia="bg-BG"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2B"/>
    <w:pPr>
      <w:spacing w:after="200" w:line="276" w:lineRule="auto"/>
    </w:pPr>
    <w:rPr>
      <w:rFonts w:ascii="Calibri" w:eastAsia="Times New Roman" w:hAnsi="Calibri" w:cs="Calibri"/>
      <w:sz w:val="22"/>
      <w:szCs w:val="22"/>
      <w:lang w:eastAsia="zh-CN"/>
    </w:rPr>
  </w:style>
  <w:style w:type="paragraph" w:styleId="Heading1">
    <w:name w:val="heading 1"/>
    <w:basedOn w:val="Normal"/>
    <w:next w:val="BodyText"/>
    <w:qFormat/>
    <w:rsid w:val="0073612B"/>
    <w:pPr>
      <w:keepNext/>
      <w:numPr>
        <w:numId w:val="1"/>
      </w:numPr>
      <w:jc w:val="center"/>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73612B"/>
  </w:style>
  <w:style w:type="character" w:customStyle="1" w:styleId="WW8Num1z1">
    <w:name w:val="WW8Num1z1"/>
    <w:qFormat/>
    <w:rsid w:val="0073612B"/>
  </w:style>
  <w:style w:type="character" w:customStyle="1" w:styleId="WW8Num1z2">
    <w:name w:val="WW8Num1z2"/>
    <w:qFormat/>
    <w:rsid w:val="0073612B"/>
  </w:style>
  <w:style w:type="character" w:customStyle="1" w:styleId="WW8Num1z3">
    <w:name w:val="WW8Num1z3"/>
    <w:qFormat/>
    <w:rsid w:val="0073612B"/>
  </w:style>
  <w:style w:type="character" w:customStyle="1" w:styleId="WW8Num1z4">
    <w:name w:val="WW8Num1z4"/>
    <w:qFormat/>
    <w:rsid w:val="0073612B"/>
  </w:style>
  <w:style w:type="character" w:customStyle="1" w:styleId="WW8Num1z5">
    <w:name w:val="WW8Num1z5"/>
    <w:qFormat/>
    <w:rsid w:val="0073612B"/>
  </w:style>
  <w:style w:type="character" w:customStyle="1" w:styleId="WW8Num1z6">
    <w:name w:val="WW8Num1z6"/>
    <w:qFormat/>
    <w:rsid w:val="0073612B"/>
  </w:style>
  <w:style w:type="character" w:customStyle="1" w:styleId="WW8Num1z7">
    <w:name w:val="WW8Num1z7"/>
    <w:qFormat/>
    <w:rsid w:val="0073612B"/>
  </w:style>
  <w:style w:type="character" w:customStyle="1" w:styleId="WW8Num1z8">
    <w:name w:val="WW8Num1z8"/>
    <w:qFormat/>
    <w:rsid w:val="0073612B"/>
  </w:style>
  <w:style w:type="character" w:customStyle="1" w:styleId="WW8Num2z0">
    <w:name w:val="WW8Num2z0"/>
    <w:qFormat/>
    <w:rsid w:val="0073612B"/>
  </w:style>
  <w:style w:type="character" w:customStyle="1" w:styleId="WW8Num2z1">
    <w:name w:val="WW8Num2z1"/>
    <w:qFormat/>
    <w:rsid w:val="0073612B"/>
  </w:style>
  <w:style w:type="character" w:customStyle="1" w:styleId="WW8Num2z2">
    <w:name w:val="WW8Num2z2"/>
    <w:qFormat/>
    <w:rsid w:val="0073612B"/>
  </w:style>
  <w:style w:type="character" w:customStyle="1" w:styleId="WW8Num2z3">
    <w:name w:val="WW8Num2z3"/>
    <w:qFormat/>
    <w:rsid w:val="0073612B"/>
  </w:style>
  <w:style w:type="character" w:customStyle="1" w:styleId="WW8Num2z4">
    <w:name w:val="WW8Num2z4"/>
    <w:qFormat/>
    <w:rsid w:val="0073612B"/>
  </w:style>
  <w:style w:type="character" w:customStyle="1" w:styleId="WW8Num2z5">
    <w:name w:val="WW8Num2z5"/>
    <w:qFormat/>
    <w:rsid w:val="0073612B"/>
  </w:style>
  <w:style w:type="character" w:customStyle="1" w:styleId="WW8Num2z6">
    <w:name w:val="WW8Num2z6"/>
    <w:qFormat/>
    <w:rsid w:val="0073612B"/>
  </w:style>
  <w:style w:type="character" w:customStyle="1" w:styleId="WW8Num2z7">
    <w:name w:val="WW8Num2z7"/>
    <w:qFormat/>
    <w:rsid w:val="0073612B"/>
  </w:style>
  <w:style w:type="character" w:customStyle="1" w:styleId="WW8Num2z8">
    <w:name w:val="WW8Num2z8"/>
    <w:qFormat/>
    <w:rsid w:val="0073612B"/>
  </w:style>
  <w:style w:type="character" w:customStyle="1" w:styleId="Absatz-Standardschriftart">
    <w:name w:val="Absatz-Standardschriftart"/>
    <w:qFormat/>
    <w:rsid w:val="0073612B"/>
  </w:style>
  <w:style w:type="character" w:customStyle="1" w:styleId="WW-Absatz-Standardschriftart">
    <w:name w:val="WW-Absatz-Standardschriftart"/>
    <w:qFormat/>
    <w:rsid w:val="0073612B"/>
  </w:style>
  <w:style w:type="character" w:customStyle="1" w:styleId="WW-Absatz-Standardschriftart1">
    <w:name w:val="WW-Absatz-Standardschriftart1"/>
    <w:qFormat/>
    <w:rsid w:val="0073612B"/>
  </w:style>
  <w:style w:type="character" w:customStyle="1" w:styleId="WW-Absatz-Standardschriftart11">
    <w:name w:val="WW-Absatz-Standardschriftart11"/>
    <w:qFormat/>
    <w:rsid w:val="0073612B"/>
  </w:style>
  <w:style w:type="character" w:customStyle="1" w:styleId="WW8Num5z0">
    <w:name w:val="WW8Num5z0"/>
    <w:qFormat/>
    <w:rsid w:val="0073612B"/>
    <w:rPr>
      <w:rFonts w:ascii="Symbol" w:hAnsi="Symbol" w:cs="Symbol"/>
    </w:rPr>
  </w:style>
  <w:style w:type="character" w:customStyle="1" w:styleId="WW8Num6z0">
    <w:name w:val="WW8Num6z0"/>
    <w:qFormat/>
    <w:rsid w:val="0073612B"/>
    <w:rPr>
      <w:rFonts w:ascii="Symbol" w:hAnsi="Symbol" w:cs="Symbol"/>
    </w:rPr>
  </w:style>
  <w:style w:type="character" w:customStyle="1" w:styleId="WW8Num7z0">
    <w:name w:val="WW8Num7z0"/>
    <w:qFormat/>
    <w:rsid w:val="0073612B"/>
    <w:rPr>
      <w:rFonts w:ascii="Symbol" w:hAnsi="Symbol" w:cs="Symbol"/>
    </w:rPr>
  </w:style>
  <w:style w:type="character" w:customStyle="1" w:styleId="WW8Num8z0">
    <w:name w:val="WW8Num8z0"/>
    <w:qFormat/>
    <w:rsid w:val="0073612B"/>
    <w:rPr>
      <w:rFonts w:ascii="Symbol" w:hAnsi="Symbol" w:cs="Symbol"/>
    </w:rPr>
  </w:style>
  <w:style w:type="character" w:customStyle="1" w:styleId="WW8Num10z0">
    <w:name w:val="WW8Num10z0"/>
    <w:qFormat/>
    <w:rsid w:val="0073612B"/>
    <w:rPr>
      <w:rFonts w:ascii="Symbol" w:hAnsi="Symbol" w:cs="Symbol"/>
    </w:rPr>
  </w:style>
  <w:style w:type="character" w:customStyle="1" w:styleId="WW-DefaultParagraphFont">
    <w:name w:val="WW-Default Paragraph Font"/>
    <w:qFormat/>
    <w:rsid w:val="0073612B"/>
  </w:style>
  <w:style w:type="character" w:customStyle="1" w:styleId="BalloonTextChar">
    <w:name w:val="Balloon Text Char"/>
    <w:qFormat/>
    <w:rsid w:val="0073612B"/>
    <w:rPr>
      <w:rFonts w:ascii="Tahoma" w:hAnsi="Tahoma" w:cs="Tahoma"/>
      <w:sz w:val="16"/>
      <w:szCs w:val="16"/>
    </w:rPr>
  </w:style>
  <w:style w:type="character" w:styleId="PageNumber">
    <w:name w:val="page number"/>
    <w:basedOn w:val="WW-DefaultParagraphFont"/>
    <w:qFormat/>
    <w:rsid w:val="0073612B"/>
  </w:style>
  <w:style w:type="character" w:customStyle="1" w:styleId="FontStyle15">
    <w:name w:val="Font Style15"/>
    <w:qFormat/>
    <w:rsid w:val="0073612B"/>
    <w:rPr>
      <w:rFonts w:eastAsia="Times New Roman"/>
      <w:b/>
      <w:bCs/>
      <w:sz w:val="20"/>
      <w:szCs w:val="20"/>
    </w:rPr>
  </w:style>
  <w:style w:type="character" w:customStyle="1" w:styleId="Bullets">
    <w:name w:val="Bullets"/>
    <w:qFormat/>
    <w:rsid w:val="0073612B"/>
    <w:rPr>
      <w:rFonts w:ascii="OpenSymbol" w:eastAsia="OpenSymbol" w:hAnsi="OpenSymbol" w:cs="OpenSymbol"/>
    </w:rPr>
  </w:style>
  <w:style w:type="character" w:styleId="LineNumber">
    <w:name w:val="line number"/>
    <w:rsid w:val="0073612B"/>
  </w:style>
  <w:style w:type="character" w:styleId="Strong">
    <w:name w:val="Strong"/>
    <w:qFormat/>
    <w:rsid w:val="0073612B"/>
    <w:rPr>
      <w:b/>
      <w:bCs/>
    </w:rPr>
  </w:style>
  <w:style w:type="character" w:styleId="Hyperlink">
    <w:name w:val="Hyperlink"/>
    <w:rsid w:val="0073612B"/>
    <w:rPr>
      <w:color w:val="000080"/>
      <w:u w:val="single"/>
    </w:rPr>
  </w:style>
  <w:style w:type="character" w:customStyle="1" w:styleId="fontstyle01">
    <w:name w:val="fontstyle01"/>
    <w:qFormat/>
    <w:rsid w:val="0073612B"/>
    <w:rPr>
      <w:rFonts w:ascii="Calibri" w:hAnsi="Calibri" w:cs="Calibri"/>
      <w:b w:val="0"/>
      <w:bCs w:val="0"/>
      <w:i w:val="0"/>
      <w:iCs w:val="0"/>
      <w:color w:val="FF0000"/>
      <w:sz w:val="24"/>
      <w:szCs w:val="24"/>
    </w:rPr>
  </w:style>
  <w:style w:type="character" w:styleId="CommentReference">
    <w:name w:val="annotation reference"/>
    <w:basedOn w:val="DefaultParagraphFont"/>
    <w:uiPriority w:val="99"/>
    <w:semiHidden/>
    <w:unhideWhenUsed/>
    <w:qFormat/>
    <w:rsid w:val="004746CA"/>
    <w:rPr>
      <w:sz w:val="16"/>
      <w:szCs w:val="16"/>
    </w:rPr>
  </w:style>
  <w:style w:type="character" w:customStyle="1" w:styleId="CommentTextChar">
    <w:name w:val="Comment Text Char"/>
    <w:basedOn w:val="DefaultParagraphFont"/>
    <w:link w:val="CommentText"/>
    <w:uiPriority w:val="99"/>
    <w:qFormat/>
    <w:rsid w:val="004746CA"/>
    <w:rPr>
      <w:rFonts w:ascii="Calibri" w:eastAsia="Times New Roman" w:hAnsi="Calibri" w:cs="Calibri"/>
      <w:lang w:eastAsia="zh-CN"/>
    </w:rPr>
  </w:style>
  <w:style w:type="character" w:customStyle="1" w:styleId="CommentSubjectChar">
    <w:name w:val="Comment Subject Char"/>
    <w:basedOn w:val="CommentTextChar"/>
    <w:link w:val="CommentSubject"/>
    <w:uiPriority w:val="99"/>
    <w:semiHidden/>
    <w:qFormat/>
    <w:rsid w:val="004746CA"/>
    <w:rPr>
      <w:rFonts w:ascii="Calibri" w:eastAsia="Times New Roman" w:hAnsi="Calibri" w:cs="Calibri"/>
      <w:b/>
      <w:bCs/>
      <w:lang w:eastAsia="zh-CN"/>
    </w:rPr>
  </w:style>
  <w:style w:type="paragraph" w:customStyle="1" w:styleId="Heading">
    <w:name w:val="Heading"/>
    <w:basedOn w:val="Normal"/>
    <w:next w:val="BodyText"/>
    <w:qFormat/>
    <w:rsid w:val="0073612B"/>
    <w:pPr>
      <w:keepNext/>
      <w:spacing w:before="240" w:after="120"/>
    </w:pPr>
    <w:rPr>
      <w:rFonts w:ascii="Arial" w:eastAsia="DejaVu Sans" w:hAnsi="Arial" w:cs="Lohit Hindi;MS Mincho"/>
      <w:sz w:val="28"/>
      <w:szCs w:val="28"/>
    </w:rPr>
  </w:style>
  <w:style w:type="paragraph" w:styleId="BodyText">
    <w:name w:val="Body Text"/>
    <w:basedOn w:val="Normal"/>
    <w:rsid w:val="0073612B"/>
    <w:pPr>
      <w:spacing w:after="120"/>
    </w:pPr>
  </w:style>
  <w:style w:type="paragraph" w:styleId="List">
    <w:name w:val="List"/>
    <w:basedOn w:val="BodyText"/>
    <w:rsid w:val="0073612B"/>
    <w:rPr>
      <w:rFonts w:cs="Lohit Hindi;MS Mincho"/>
    </w:rPr>
  </w:style>
  <w:style w:type="paragraph" w:styleId="Caption">
    <w:name w:val="caption"/>
    <w:basedOn w:val="Normal"/>
    <w:qFormat/>
    <w:rsid w:val="0073612B"/>
    <w:pPr>
      <w:suppressLineNumbers/>
      <w:spacing w:before="120" w:after="120"/>
    </w:pPr>
    <w:rPr>
      <w:rFonts w:cs="Lohit Hindi;MS Mincho"/>
      <w:i/>
      <w:iCs/>
      <w:sz w:val="24"/>
      <w:szCs w:val="24"/>
    </w:rPr>
  </w:style>
  <w:style w:type="paragraph" w:customStyle="1" w:styleId="Index">
    <w:name w:val="Index"/>
    <w:basedOn w:val="Normal"/>
    <w:qFormat/>
    <w:rsid w:val="0073612B"/>
    <w:pPr>
      <w:suppressLineNumbers/>
    </w:pPr>
    <w:rPr>
      <w:rFonts w:cs="Lohit Hindi;MS Mincho"/>
    </w:rPr>
  </w:style>
  <w:style w:type="paragraph" w:styleId="BalloonText">
    <w:name w:val="Balloon Text"/>
    <w:basedOn w:val="Normal"/>
    <w:qFormat/>
    <w:rsid w:val="0073612B"/>
    <w:pPr>
      <w:spacing w:after="0" w:line="240" w:lineRule="auto"/>
    </w:pPr>
    <w:rPr>
      <w:rFonts w:ascii="Tahoma" w:hAnsi="Tahoma" w:cs="Tahoma"/>
      <w:sz w:val="16"/>
      <w:szCs w:val="16"/>
    </w:rPr>
  </w:style>
  <w:style w:type="paragraph" w:styleId="NoSpacing">
    <w:name w:val="No Spacing"/>
    <w:qFormat/>
    <w:rsid w:val="0073612B"/>
    <w:rPr>
      <w:rFonts w:ascii="Calibri" w:eastAsia="Times New Roman" w:hAnsi="Calibri" w:cs="Calibri"/>
      <w:sz w:val="22"/>
      <w:szCs w:val="22"/>
      <w:lang w:eastAsia="zh-CN"/>
    </w:rPr>
  </w:style>
  <w:style w:type="paragraph" w:customStyle="1" w:styleId="HeaderandFooter">
    <w:name w:val="Header and Footer"/>
    <w:basedOn w:val="Normal"/>
    <w:qFormat/>
    <w:rsid w:val="0073612B"/>
    <w:pPr>
      <w:suppressLineNumbers/>
      <w:tabs>
        <w:tab w:val="center" w:pos="4986"/>
        <w:tab w:val="right" w:pos="9972"/>
      </w:tabs>
    </w:pPr>
  </w:style>
  <w:style w:type="paragraph" w:styleId="Footer">
    <w:name w:val="footer"/>
    <w:basedOn w:val="Normal"/>
    <w:rsid w:val="0073612B"/>
    <w:pPr>
      <w:tabs>
        <w:tab w:val="center" w:pos="4703"/>
        <w:tab w:val="right" w:pos="9406"/>
      </w:tabs>
    </w:pPr>
  </w:style>
  <w:style w:type="paragraph" w:styleId="Header">
    <w:name w:val="header"/>
    <w:basedOn w:val="Normal"/>
    <w:rsid w:val="0073612B"/>
    <w:pPr>
      <w:tabs>
        <w:tab w:val="center" w:pos="4703"/>
        <w:tab w:val="right" w:pos="9406"/>
      </w:tabs>
    </w:pPr>
  </w:style>
  <w:style w:type="paragraph" w:customStyle="1" w:styleId="TableContents">
    <w:name w:val="Table Contents"/>
    <w:basedOn w:val="Normal"/>
    <w:qFormat/>
    <w:rsid w:val="0073612B"/>
    <w:pPr>
      <w:suppressLineNumbers/>
    </w:pPr>
  </w:style>
  <w:style w:type="paragraph" w:customStyle="1" w:styleId="TableHeading">
    <w:name w:val="Table Heading"/>
    <w:basedOn w:val="TableContents"/>
    <w:qFormat/>
    <w:rsid w:val="0073612B"/>
    <w:pPr>
      <w:jc w:val="center"/>
    </w:pPr>
    <w:rPr>
      <w:b/>
      <w:bCs/>
    </w:rPr>
  </w:style>
  <w:style w:type="paragraph" w:customStyle="1" w:styleId="FrameContents">
    <w:name w:val="Frame Contents"/>
    <w:basedOn w:val="Normal"/>
    <w:qFormat/>
    <w:rsid w:val="0073612B"/>
  </w:style>
  <w:style w:type="paragraph" w:styleId="ListParagraph">
    <w:name w:val="List Paragraph"/>
    <w:basedOn w:val="Normal"/>
    <w:qFormat/>
    <w:rsid w:val="0073612B"/>
    <w:pPr>
      <w:spacing w:after="0"/>
      <w:ind w:left="720"/>
      <w:contextualSpacing/>
    </w:pPr>
  </w:style>
  <w:style w:type="paragraph" w:customStyle="1" w:styleId="Default">
    <w:name w:val="Default"/>
    <w:qFormat/>
    <w:rsid w:val="0073612B"/>
    <w:rPr>
      <w:color w:val="000000"/>
      <w:sz w:val="24"/>
      <w:szCs w:val="24"/>
      <w:lang w:eastAsia="zh-CN" w:bidi="hi-IN"/>
    </w:rPr>
  </w:style>
  <w:style w:type="paragraph" w:styleId="PlainText">
    <w:name w:val="Plain Text"/>
    <w:basedOn w:val="Normal"/>
    <w:qFormat/>
    <w:rsid w:val="0073612B"/>
    <w:pPr>
      <w:suppressAutoHyphens w:val="0"/>
    </w:pPr>
    <w:rPr>
      <w:rFonts w:eastAsia="Calibri"/>
      <w:szCs w:val="21"/>
      <w:lang w:eastAsia="en-US"/>
    </w:rPr>
  </w:style>
  <w:style w:type="paragraph" w:styleId="CommentText">
    <w:name w:val="annotation text"/>
    <w:basedOn w:val="Normal"/>
    <w:link w:val="CommentTextChar"/>
    <w:uiPriority w:val="99"/>
    <w:unhideWhenUsed/>
    <w:qFormat/>
    <w:rsid w:val="004746C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746CA"/>
    <w:rPr>
      <w:b/>
      <w:bCs/>
    </w:rPr>
  </w:style>
  <w:style w:type="paragraph" w:styleId="Revision">
    <w:name w:val="Revision"/>
    <w:uiPriority w:val="99"/>
    <w:semiHidden/>
    <w:qFormat/>
    <w:rsid w:val="00E516F8"/>
    <w:rPr>
      <w:rFonts w:ascii="Calibri" w:eastAsia="Times New Roman" w:hAnsi="Calibri" w:cs="Calibri"/>
      <w:sz w:val="22"/>
      <w:szCs w:val="22"/>
      <w:lang w:eastAsia="zh-CN"/>
    </w:rPr>
  </w:style>
  <w:style w:type="numbering" w:customStyle="1" w:styleId="WW8Num1">
    <w:name w:val="WW8Num1"/>
    <w:qFormat/>
    <w:rsid w:val="0073612B"/>
  </w:style>
  <w:style w:type="numbering" w:customStyle="1" w:styleId="WW8Num2">
    <w:name w:val="WW8Num2"/>
    <w:qFormat/>
    <w:rsid w:val="007361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omed.bas.bg/bg/wp-content/uploads/2024/04/IBPhBME_pravila_atestacia_i_statut_komisii.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testacia@biomed.b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\376\377\000M\000i\000c\000r\000o\000s\000o\000f\000t\000 \000W\000o\000r\000d\000 \000-\000 \000A\000t\000e\000s\000t\000a\000t\000s\000i\000y\000a\000 \000n\000a\000 \000u\000c\000h\000e\000n\000i\000 \000-\000 \0002\0000\000.\0000\0005\000.\0002\0000\0</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\376\377\000M\000i\000c\000r\000o\000s\000o\000f\000t\000 \000W\000o\000r\000d\000 \000-\000 \000A\000t\000e\000s\000t\000a\000t\000s\000i\000y\000a\000 \000n\000a\000 \000u\000c\000h\000e\000n\000i\000 \000-\000 \0002\0000\000.\0000\0005\000.\0002\0000\0</dc:title>
  <dc:creator>\376\377\000p\000l\000a\000m\000e\000n\000 \000s\000a\000k\000a\000l\000i\000y\000s\000k\000i</dc:creator>
  <cp:lastModifiedBy>Reviewer</cp:lastModifiedBy>
  <cp:revision>4</cp:revision>
  <cp:lastPrinted>1995-11-21T17:41:00Z</cp:lastPrinted>
  <dcterms:created xsi:type="dcterms:W3CDTF">2024-04-29T12:36:00Z</dcterms:created>
  <dcterms:modified xsi:type="dcterms:W3CDTF">2024-04-29T12:37:00Z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2193f71287b6b1c64c1156654429736a543645ec5fd6c5b5031d7d20db50ddcb</vt:lpwstr>
  </property>
</Properties>
</file>